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4FC" w:rsidRDefault="00CE74FC">
      <w:pPr>
        <w:keepNext/>
        <w:keepLines/>
        <w:spacing w:before="240" w:line="360" w:lineRule="auto"/>
        <w:jc w:val="both"/>
        <w:rPr>
          <w:rFonts w:ascii="Arial" w:hAnsi="Arial" w:cs="Arial"/>
          <w:color w:val="002060"/>
          <w:sz w:val="24"/>
        </w:rPr>
      </w:pPr>
      <w:r>
        <w:rPr>
          <w:rFonts w:ascii="Arial" w:hAnsi="Arial" w:cs="Arial"/>
          <w:color w:val="002060"/>
          <w:sz w:val="24"/>
        </w:rPr>
        <w:t>Ποια είναι η σημαντικότητα της Ενιαίας Λίστας Χειρουργείου;</w:t>
      </w:r>
    </w:p>
    <w:p w:rsidR="00CE74FC" w:rsidRDefault="00CE74FC">
      <w:pPr>
        <w:spacing w:after="160" w:line="259" w:lineRule="auto"/>
        <w:jc w:val="both"/>
        <w:rPr>
          <w:rFonts w:ascii="Arial" w:hAnsi="Arial" w:cs="Arial"/>
        </w:rPr>
      </w:pPr>
      <w:r>
        <w:rPr>
          <w:rFonts w:ascii="Arial" w:hAnsi="Arial" w:cs="Arial"/>
        </w:rPr>
        <w:t>Η ορθή τήρηση της Ενιαίας Λίστα Χειρουργείου διασφαλίζει την καθολική και ισότιμη πρόσβαση των πολιτών στο Σύστημα Υγείας.</w:t>
      </w:r>
    </w:p>
    <w:p w:rsidR="00CE74FC" w:rsidRDefault="00CE74FC">
      <w:pPr>
        <w:spacing w:after="160" w:line="259" w:lineRule="auto"/>
        <w:jc w:val="both"/>
        <w:rPr>
          <w:rFonts w:ascii="Arial" w:hAnsi="Arial" w:cs="Arial"/>
        </w:rPr>
      </w:pPr>
      <w:r>
        <w:rPr>
          <w:rFonts w:ascii="Arial" w:hAnsi="Arial" w:cs="Arial"/>
        </w:rPr>
        <w:t xml:space="preserve">Μέσω της Ενιαίας Λίστας Χειρουργείου εξασφαλίζονται οι έξι παρακάτω αρχές και αξίες που είναι απαραίτητες για τη λειτουργία ενός αξιόλογου Συστήματος Υγείας. </w:t>
      </w:r>
    </w:p>
    <w:p w:rsidR="00CE74FC" w:rsidRDefault="00CE74FC">
      <w:pPr>
        <w:numPr>
          <w:ilvl w:val="0"/>
          <w:numId w:val="1"/>
        </w:numPr>
        <w:spacing w:after="160" w:line="259" w:lineRule="auto"/>
        <w:ind w:left="720" w:hanging="360"/>
        <w:jc w:val="both"/>
        <w:rPr>
          <w:rFonts w:ascii="Arial" w:hAnsi="Arial" w:cs="Arial"/>
        </w:rPr>
      </w:pPr>
      <w:r>
        <w:rPr>
          <w:rFonts w:ascii="Arial" w:hAnsi="Arial" w:cs="Arial"/>
        </w:rPr>
        <w:t>Διαφάνεια</w:t>
      </w:r>
    </w:p>
    <w:p w:rsidR="00CE74FC" w:rsidRDefault="00CE74FC">
      <w:pPr>
        <w:numPr>
          <w:ilvl w:val="0"/>
          <w:numId w:val="1"/>
        </w:numPr>
        <w:spacing w:after="160" w:line="259" w:lineRule="auto"/>
        <w:ind w:left="720" w:hanging="360"/>
        <w:jc w:val="both"/>
        <w:rPr>
          <w:rFonts w:ascii="Arial" w:hAnsi="Arial" w:cs="Arial"/>
        </w:rPr>
      </w:pPr>
      <w:r>
        <w:rPr>
          <w:rFonts w:ascii="Arial" w:hAnsi="Arial" w:cs="Arial"/>
        </w:rPr>
        <w:t>Διασφάλιση Ποιότητας</w:t>
      </w:r>
    </w:p>
    <w:p w:rsidR="00CE74FC" w:rsidRDefault="00CE74FC">
      <w:pPr>
        <w:numPr>
          <w:ilvl w:val="0"/>
          <w:numId w:val="1"/>
        </w:numPr>
        <w:spacing w:after="160" w:line="259" w:lineRule="auto"/>
        <w:ind w:left="720" w:hanging="360"/>
        <w:jc w:val="both"/>
        <w:rPr>
          <w:rFonts w:ascii="Arial" w:hAnsi="Arial" w:cs="Arial"/>
        </w:rPr>
      </w:pPr>
      <w:r>
        <w:rPr>
          <w:rFonts w:ascii="Arial" w:hAnsi="Arial" w:cs="Arial"/>
        </w:rPr>
        <w:t>Διασφάλιση Υγείας</w:t>
      </w:r>
    </w:p>
    <w:p w:rsidR="00CE74FC" w:rsidRDefault="00CE74FC">
      <w:pPr>
        <w:numPr>
          <w:ilvl w:val="0"/>
          <w:numId w:val="1"/>
        </w:numPr>
        <w:spacing w:after="160" w:line="259" w:lineRule="auto"/>
        <w:ind w:left="720" w:hanging="360"/>
        <w:jc w:val="both"/>
        <w:rPr>
          <w:rFonts w:ascii="Arial" w:hAnsi="Arial" w:cs="Arial"/>
        </w:rPr>
      </w:pPr>
      <w:r>
        <w:rPr>
          <w:rFonts w:ascii="Arial" w:hAnsi="Arial" w:cs="Arial"/>
        </w:rPr>
        <w:t>Προσβασιμότητα</w:t>
      </w:r>
    </w:p>
    <w:p w:rsidR="00CE74FC" w:rsidRDefault="00CE74FC">
      <w:pPr>
        <w:numPr>
          <w:ilvl w:val="0"/>
          <w:numId w:val="1"/>
        </w:numPr>
        <w:spacing w:after="160" w:line="259" w:lineRule="auto"/>
        <w:ind w:left="720" w:hanging="360"/>
        <w:jc w:val="both"/>
        <w:rPr>
          <w:rFonts w:ascii="Arial" w:hAnsi="Arial" w:cs="Arial"/>
        </w:rPr>
      </w:pPr>
      <w:r>
        <w:rPr>
          <w:rFonts w:ascii="Arial" w:hAnsi="Arial" w:cs="Arial"/>
        </w:rPr>
        <w:t>Αποτελεσματικότητα</w:t>
      </w:r>
    </w:p>
    <w:p w:rsidR="00CE74FC" w:rsidRDefault="00CE74FC">
      <w:pPr>
        <w:numPr>
          <w:ilvl w:val="0"/>
          <w:numId w:val="1"/>
        </w:numPr>
        <w:spacing w:after="160" w:line="259" w:lineRule="auto"/>
        <w:ind w:left="720" w:hanging="360"/>
        <w:jc w:val="both"/>
        <w:rPr>
          <w:rFonts w:ascii="Arial" w:hAnsi="Arial" w:cs="Arial"/>
        </w:rPr>
      </w:pPr>
      <w:r>
        <w:rPr>
          <w:rFonts w:ascii="Arial" w:hAnsi="Arial" w:cs="Arial"/>
        </w:rPr>
        <w:t>Συντονισμός Περίθαλψης</w:t>
      </w:r>
    </w:p>
    <w:p w:rsidR="00CE74FC" w:rsidRDefault="00CE74FC">
      <w:pPr>
        <w:spacing w:after="160" w:line="259" w:lineRule="auto"/>
        <w:ind w:left="360"/>
        <w:jc w:val="both"/>
        <w:rPr>
          <w:rFonts w:ascii="Arial" w:hAnsi="Arial" w:cs="Arial"/>
        </w:rPr>
      </w:pPr>
    </w:p>
    <w:p w:rsidR="00CE74FC" w:rsidRDefault="00CE74FC">
      <w:pPr>
        <w:keepNext/>
        <w:keepLines/>
        <w:spacing w:before="240" w:line="360" w:lineRule="auto"/>
        <w:jc w:val="both"/>
        <w:rPr>
          <w:rFonts w:ascii="Arial" w:hAnsi="Arial" w:cs="Arial"/>
          <w:color w:val="002060"/>
          <w:sz w:val="24"/>
        </w:rPr>
      </w:pPr>
      <w:r>
        <w:rPr>
          <w:rFonts w:ascii="Arial" w:hAnsi="Arial" w:cs="Arial"/>
          <w:color w:val="002060"/>
          <w:sz w:val="24"/>
        </w:rPr>
        <w:t>Τι συμβαίνει στην υπόλοιπη Ευρώπη;</w:t>
      </w:r>
    </w:p>
    <w:p w:rsidR="00CE74FC" w:rsidRDefault="00CE74FC">
      <w:pPr>
        <w:spacing w:after="160" w:line="259" w:lineRule="auto"/>
        <w:jc w:val="both"/>
        <w:rPr>
          <w:rFonts w:ascii="Arial" w:hAnsi="Arial" w:cs="Arial"/>
        </w:rPr>
      </w:pPr>
      <w:r>
        <w:rPr>
          <w:rFonts w:ascii="Arial" w:hAnsi="Arial" w:cs="Arial"/>
        </w:rPr>
        <w:t xml:space="preserve">Λίστες Χειρουργείου τηρούνται σε όλα τα Ευρωπαϊκά συστήματα Υγείας. Η κατάσταση του χρόνου αναμονής στις χώρες της Ευρώπης, σχετικά με τις αναμονές των χειρουργικών επεμβάσεων στα Νοσοκομεία, ποικίλει ανάλογα με τη χώρα. Σε ορισμένες χώρες, όπως για παράδειγμα η Σουηδία, ο χρόνος αναμονής του πολίτη για μη επείγουσα χειρουργική επέμβαση κυμαίνεται στις 50 μέρες κατά μέσο όρο. </w:t>
      </w:r>
    </w:p>
    <w:p w:rsidR="00CE74FC" w:rsidRDefault="00CE74FC">
      <w:pPr>
        <w:spacing w:after="160" w:line="259" w:lineRule="auto"/>
        <w:jc w:val="both"/>
        <w:rPr>
          <w:rFonts w:ascii="Arial" w:hAnsi="Arial" w:cs="Arial"/>
        </w:rPr>
      </w:pPr>
      <w:r>
        <w:rPr>
          <w:rFonts w:ascii="Arial" w:hAnsi="Arial" w:cs="Arial"/>
        </w:rPr>
        <w:t xml:space="preserve">Στο Ηνωμένο Βασίλειο αντίθετα, η κατάσταση είναι διαφορετική, καθώς ο μέσος χρόνος αναμονής των πολιτών για την πραγματοποίηση μη επείγουσας επέμβασης ξεπερνά τους 12 μήνες, σύμφωνα με τα δεδομένα του αρμόδιου φορέα της χώρας. Πιο συγκεκριμένα η Λίστα Χειρουργείου έχει ξεπεράσει τις 7,6 εκατομμύρια εγγραφές, τον Αύγουστο του 2023, 37% προσαυξημένο σε σχέση με τον Σεπτέμβριο του 2021, όταν οι εγγραφές ήταν 5,6 εκατομμύρια. Τέλος, αξίζει να σημειωθεί ότι αυξήθηκε δραματικά ο αριθμός των πολιτών που αναμένουν για χειρουργική επέμβαση περισσότερο από 4 μήνες. Περισσότεροι από 4 στους 10 πολίτες περιμένουν περισσότερο από 4 μήνες για χειρουργική επέμβαση. </w:t>
      </w:r>
    </w:p>
    <w:p w:rsidR="00CE74FC" w:rsidRDefault="00CE74FC">
      <w:pPr>
        <w:keepNext/>
        <w:keepLines/>
        <w:spacing w:before="240" w:line="360" w:lineRule="auto"/>
        <w:jc w:val="both"/>
        <w:rPr>
          <w:rFonts w:ascii="Arial" w:hAnsi="Arial" w:cs="Arial"/>
          <w:color w:val="002060"/>
          <w:sz w:val="24"/>
        </w:rPr>
      </w:pPr>
    </w:p>
    <w:p w:rsidR="00CE74FC" w:rsidRDefault="00CE74FC">
      <w:pPr>
        <w:keepNext/>
        <w:keepLines/>
        <w:spacing w:before="240" w:line="360" w:lineRule="auto"/>
        <w:jc w:val="both"/>
        <w:rPr>
          <w:rFonts w:ascii="Arial" w:hAnsi="Arial" w:cs="Arial"/>
          <w:color w:val="002060"/>
          <w:sz w:val="24"/>
        </w:rPr>
      </w:pPr>
      <w:r>
        <w:rPr>
          <w:rFonts w:ascii="Arial" w:hAnsi="Arial" w:cs="Arial"/>
          <w:color w:val="002060"/>
          <w:sz w:val="24"/>
        </w:rPr>
        <w:t>Ποια είναι η Ιστορία της Λίστας Χειρουργείου στην χώρα μας, γιατί δεν λειτουργεί αποτελεσματικά η Λίστα Χειρουργείου;</w:t>
      </w:r>
    </w:p>
    <w:p w:rsidR="00CE74FC" w:rsidRDefault="00CE74FC">
      <w:pPr>
        <w:spacing w:after="160" w:line="259" w:lineRule="auto"/>
        <w:jc w:val="both"/>
        <w:rPr>
          <w:rFonts w:ascii="Arial" w:hAnsi="Arial" w:cs="Arial"/>
        </w:rPr>
      </w:pPr>
      <w:r>
        <w:rPr>
          <w:rFonts w:ascii="Arial" w:hAnsi="Arial" w:cs="Arial"/>
        </w:rPr>
        <w:t xml:space="preserve">Μέχρι το 2017 δεν υπήρχε Λίστα Χειρουργείου στην Ελλάδα, όταν και θεσμοθετήθηκε, με σκοπό την καταγραφή και παρακολούθηση των πολιτών που χρήζουν χειρουργικής επέμβασης. Η λειτουργία όμως της Λίστας Χειρουργείου δεν έχει αποδώσει για 3 βασικούς λόγους: </w:t>
      </w:r>
    </w:p>
    <w:p w:rsidR="00CE74FC" w:rsidRDefault="00CE74FC">
      <w:pPr>
        <w:numPr>
          <w:ilvl w:val="0"/>
          <w:numId w:val="2"/>
        </w:numPr>
        <w:spacing w:after="160" w:line="259" w:lineRule="auto"/>
        <w:ind w:left="720" w:hanging="360"/>
        <w:jc w:val="both"/>
        <w:rPr>
          <w:rFonts w:ascii="Arial" w:hAnsi="Arial" w:cs="Arial"/>
        </w:rPr>
      </w:pPr>
      <w:r>
        <w:rPr>
          <w:rFonts w:ascii="Arial" w:hAnsi="Arial" w:cs="Arial"/>
        </w:rPr>
        <w:t>Έλλειψη προτυποποιημένης διαδικασίας συντήρησης</w:t>
      </w:r>
    </w:p>
    <w:p w:rsidR="00CE74FC" w:rsidRDefault="00CE74FC">
      <w:pPr>
        <w:numPr>
          <w:ilvl w:val="0"/>
          <w:numId w:val="2"/>
        </w:numPr>
        <w:spacing w:after="160" w:line="259" w:lineRule="auto"/>
        <w:ind w:left="720" w:hanging="360"/>
        <w:jc w:val="both"/>
        <w:rPr>
          <w:rFonts w:ascii="Arial" w:hAnsi="Arial" w:cs="Arial"/>
        </w:rPr>
      </w:pPr>
      <w:r>
        <w:rPr>
          <w:rFonts w:ascii="Arial" w:hAnsi="Arial" w:cs="Arial"/>
        </w:rPr>
        <w:t>Απουσία δυνατότητας συνεχούς παρακολούθησης</w:t>
      </w:r>
    </w:p>
    <w:p w:rsidR="00CE74FC" w:rsidRDefault="00CE74FC">
      <w:pPr>
        <w:numPr>
          <w:ilvl w:val="0"/>
          <w:numId w:val="2"/>
        </w:numPr>
        <w:spacing w:after="160" w:line="259" w:lineRule="auto"/>
        <w:ind w:left="720" w:hanging="360"/>
        <w:jc w:val="both"/>
        <w:rPr>
          <w:rFonts w:ascii="Arial" w:hAnsi="Arial" w:cs="Arial"/>
        </w:rPr>
      </w:pPr>
      <w:r>
        <w:rPr>
          <w:rFonts w:ascii="Arial" w:hAnsi="Arial" w:cs="Arial"/>
        </w:rPr>
        <w:t>Απουσία διασύνδεσης της Λίστας Χειρουργείου με τις υπόλοιπες διαδικασίες του Νοσοκομείου (π.χ. πραγματοποιθέντα χειρουργεία)</w:t>
      </w:r>
    </w:p>
    <w:p w:rsidR="00CE74FC" w:rsidRDefault="00CE74FC">
      <w:pPr>
        <w:keepNext/>
        <w:keepLines/>
        <w:spacing w:before="240" w:line="360" w:lineRule="auto"/>
        <w:jc w:val="both"/>
        <w:rPr>
          <w:rFonts w:ascii="Arial" w:hAnsi="Arial" w:cs="Arial"/>
          <w:color w:val="002060"/>
          <w:sz w:val="24"/>
        </w:rPr>
      </w:pPr>
      <w:r>
        <w:rPr>
          <w:rFonts w:ascii="Arial" w:hAnsi="Arial" w:cs="Arial"/>
          <w:color w:val="002060"/>
          <w:sz w:val="24"/>
        </w:rPr>
        <w:t>Τι πρωτοβουλίες έχει λάβει το Υπουργείο Υγείας;</w:t>
      </w:r>
    </w:p>
    <w:p w:rsidR="00CE74FC" w:rsidRDefault="00CE74FC">
      <w:pPr>
        <w:spacing w:after="160" w:line="259" w:lineRule="auto"/>
        <w:jc w:val="both"/>
        <w:rPr>
          <w:rFonts w:ascii="Arial" w:hAnsi="Arial" w:cs="Arial"/>
        </w:rPr>
      </w:pPr>
      <w:r>
        <w:rPr>
          <w:rFonts w:ascii="Arial" w:hAnsi="Arial" w:cs="Arial"/>
        </w:rPr>
        <w:t xml:space="preserve">Για την αντιμετώπιση τόσο των καθυστερήσεων όσο και τη βελτίωση της λειτουργίας της Λίστας Χειρουργείου, το Υπουργείο Υγείας προέβη σε στρατηγικές αποφάσεις. </w:t>
      </w:r>
    </w:p>
    <w:p w:rsidR="00CE74FC" w:rsidRDefault="00CE74FC">
      <w:pPr>
        <w:spacing w:after="160" w:line="259" w:lineRule="auto"/>
        <w:jc w:val="both"/>
        <w:rPr>
          <w:rFonts w:ascii="Arial" w:hAnsi="Arial" w:cs="Arial"/>
        </w:rPr>
      </w:pPr>
      <w:r>
        <w:rPr>
          <w:rFonts w:ascii="Arial" w:hAnsi="Arial" w:cs="Arial"/>
        </w:rPr>
        <w:t xml:space="preserve">Οι λύσεις βασίστηκαν σε δύο πυλώνες: Ο πρώτος πυλώνας βασίστηκε στη διασφάλιση της ορθής συντήρησης της Λίστας Χειρουργείου και στη συνεχή παρακολούθησή της. Ο δεύτερος πυλώνας στηρίχθηκε στον εκσυγχρονισμό της λειτουργίας της Λίστας Χειρουργείου με την πλήρη ψηφιοποίηση της να αποτελεί προτεραιότητα. </w:t>
      </w:r>
    </w:p>
    <w:p w:rsidR="00CE74FC" w:rsidRDefault="00CE74FC">
      <w:pPr>
        <w:spacing w:after="160" w:line="259" w:lineRule="auto"/>
        <w:jc w:val="both"/>
        <w:rPr>
          <w:rFonts w:ascii="Arial" w:hAnsi="Arial" w:cs="Arial"/>
        </w:rPr>
      </w:pPr>
    </w:p>
    <w:p w:rsidR="00CE74FC" w:rsidRDefault="00CE74FC">
      <w:pPr>
        <w:keepNext/>
        <w:keepLines/>
        <w:spacing w:before="240" w:line="360" w:lineRule="auto"/>
        <w:jc w:val="both"/>
        <w:rPr>
          <w:rFonts w:ascii="Arial" w:hAnsi="Arial" w:cs="Arial"/>
          <w:color w:val="002060"/>
          <w:sz w:val="24"/>
        </w:rPr>
      </w:pPr>
      <w:r>
        <w:rPr>
          <w:rFonts w:ascii="Arial" w:hAnsi="Arial" w:cs="Arial"/>
          <w:color w:val="002060"/>
          <w:sz w:val="24"/>
        </w:rPr>
        <w:t>Ποιες ήταν οι πρωτοβουλίες για την διαχείριση της Λίστας Χειρουργείου;</w:t>
      </w:r>
    </w:p>
    <w:p w:rsidR="00CE74FC" w:rsidRDefault="00CE74FC">
      <w:pPr>
        <w:spacing w:after="160" w:line="259" w:lineRule="auto"/>
        <w:jc w:val="both"/>
        <w:rPr>
          <w:rFonts w:ascii="Arial" w:hAnsi="Arial" w:cs="Arial"/>
        </w:rPr>
      </w:pPr>
      <w:r>
        <w:rPr>
          <w:rFonts w:ascii="Arial" w:hAnsi="Arial" w:cs="Arial"/>
        </w:rPr>
        <w:t xml:space="preserve">Ένα από τα υφιστάμενα προβλήματα της Λίστας Χειρουργείου, ήταν η αδυναμία εκκαθάρισης της Λίστας και συνεπώς η μη αξιοπιστία των δεδομένων. Με βάση τις οδηγίες του Υπουργείου Υγείας, συστάθηκε μία επιτροπή για να εκκαθαριστούν οι Λίστες Χειρουργείου. Πραγματοποιήθηκαν περισσότερες από 150.000 κλήσεις σε πολίτες, προκειμένου να επικαιροποιηθεί η πληροφορία για το αν επιθυμούν να παραμένουν εγγεγραμμένοι στη Λίστα Χειρουργείου. </w:t>
      </w:r>
    </w:p>
    <w:p w:rsidR="00CE74FC" w:rsidRDefault="00CE74FC">
      <w:pPr>
        <w:spacing w:after="160" w:line="259" w:lineRule="auto"/>
        <w:jc w:val="both"/>
        <w:rPr>
          <w:rFonts w:ascii="Arial" w:hAnsi="Arial" w:cs="Arial"/>
        </w:rPr>
      </w:pPr>
      <w:r>
        <w:rPr>
          <w:rFonts w:ascii="Arial" w:hAnsi="Arial" w:cs="Arial"/>
        </w:rPr>
        <w:t xml:space="preserve">Η εκκαθάριση ήταν ένα σημαντικό βήμα, καθώς όπως φάνηκε κρίνοντας από το αποτέλεσμα, περισσότερο από το 38% των εγγεγραμμένων πολιτών δεν επιθυμούσε να παραμείνει στην λίστα για διάφορους λόγους. Οι βασικοί λόγοι που οι πολίτες δεν επιθυμούσαν να παραμένουν στην Λίστα Χειρουργείου ήταν: </w:t>
      </w:r>
    </w:p>
    <w:p w:rsidR="00CE74FC" w:rsidRDefault="00CE74FC">
      <w:pPr>
        <w:numPr>
          <w:ilvl w:val="0"/>
          <w:numId w:val="3"/>
        </w:numPr>
        <w:spacing w:after="160" w:line="259" w:lineRule="auto"/>
        <w:ind w:left="360" w:hanging="360"/>
        <w:jc w:val="both"/>
        <w:rPr>
          <w:rFonts w:ascii="Arial" w:hAnsi="Arial" w:cs="Arial"/>
        </w:rPr>
      </w:pPr>
      <w:r>
        <w:rPr>
          <w:rFonts w:ascii="Arial" w:hAnsi="Arial" w:cs="Arial"/>
        </w:rPr>
        <w:t>Επέλεξαν να χειρουργηθούν είτε σε άλλα δημόσια Νοσοκομεία ή σε Ιδιωτικές κλινικές για επίσπευση του χρόνου</w:t>
      </w:r>
    </w:p>
    <w:p w:rsidR="00CE74FC" w:rsidRDefault="00CE74FC">
      <w:pPr>
        <w:numPr>
          <w:ilvl w:val="0"/>
          <w:numId w:val="3"/>
        </w:numPr>
        <w:spacing w:after="160" w:line="259" w:lineRule="auto"/>
        <w:ind w:left="360" w:hanging="360"/>
        <w:jc w:val="both"/>
        <w:rPr>
          <w:rFonts w:ascii="Arial" w:hAnsi="Arial" w:cs="Arial"/>
        </w:rPr>
      </w:pPr>
      <w:r>
        <w:rPr>
          <w:rFonts w:ascii="Arial" w:hAnsi="Arial" w:cs="Arial"/>
        </w:rPr>
        <w:t>Δεν επιθυμούσε πλέον ο πολίτης να πραγματοποιήσει το χειρουργείο</w:t>
      </w:r>
    </w:p>
    <w:p w:rsidR="00CE74FC" w:rsidRDefault="00CE74FC">
      <w:pPr>
        <w:spacing w:after="160" w:line="259" w:lineRule="auto"/>
        <w:jc w:val="both"/>
        <w:rPr>
          <w:rFonts w:ascii="Arial" w:hAnsi="Arial" w:cs="Arial"/>
        </w:rPr>
      </w:pPr>
      <w:r>
        <w:rPr>
          <w:rFonts w:ascii="Arial" w:hAnsi="Arial" w:cs="Arial"/>
        </w:rPr>
        <w:t xml:space="preserve">Τέλος, για τη μείωση των περιστατικών, τα οποία είναι σε αναμονή, έχουν εξεταστεί μία σειρά μέτρων σύμφωνα με τις αποφάσεις του Υπουργείου Υγείας, τα οποία θα αρχίσουν να εφαρμόζονται μέσα στους πρώτους μήνες του 2024. </w:t>
      </w:r>
    </w:p>
    <w:p w:rsidR="00CE74FC" w:rsidRDefault="00CE74FC">
      <w:pPr>
        <w:spacing w:after="160" w:line="259" w:lineRule="auto"/>
        <w:jc w:val="both"/>
        <w:rPr>
          <w:rFonts w:ascii="Arial" w:hAnsi="Arial" w:cs="Arial"/>
        </w:rPr>
      </w:pPr>
      <w:r>
        <w:rPr>
          <w:rFonts w:ascii="Arial" w:hAnsi="Arial" w:cs="Arial"/>
        </w:rPr>
        <w:t xml:space="preserve">  </w:t>
      </w:r>
    </w:p>
    <w:p w:rsidR="00CE74FC" w:rsidRDefault="00CE74FC">
      <w:pPr>
        <w:keepNext/>
        <w:keepLines/>
        <w:spacing w:before="240" w:line="360" w:lineRule="auto"/>
        <w:jc w:val="both"/>
        <w:rPr>
          <w:rFonts w:ascii="Arial" w:hAnsi="Arial" w:cs="Arial"/>
          <w:color w:val="002060"/>
          <w:sz w:val="24"/>
        </w:rPr>
      </w:pPr>
      <w:r>
        <w:rPr>
          <w:rFonts w:ascii="Arial" w:hAnsi="Arial" w:cs="Arial"/>
          <w:color w:val="002060"/>
          <w:sz w:val="24"/>
        </w:rPr>
        <w:t>Τι μεταρρυθμίσεις θα συμβούν για τον εκσυγχρονισμό της Λίστας Χειρουργείου;</w:t>
      </w:r>
    </w:p>
    <w:p w:rsidR="00CE74FC" w:rsidRDefault="00CE74FC">
      <w:pPr>
        <w:spacing w:after="160" w:line="259" w:lineRule="auto"/>
        <w:jc w:val="both"/>
        <w:rPr>
          <w:rFonts w:ascii="Arial" w:hAnsi="Arial" w:cs="Arial"/>
        </w:rPr>
      </w:pPr>
      <w:r>
        <w:rPr>
          <w:rFonts w:ascii="Arial" w:hAnsi="Arial" w:cs="Arial"/>
        </w:rPr>
        <w:t xml:space="preserve">Για τη βελτίωση της λειτουργικότητας της Λίστας Χειρουργείου, θεσμοθετήθηκε από το Υπουργείο Υγείας η νέα Ψηφιοποιημένη Ενιαία Λίστα Χειρουργείου. Η Νομοθετική διάταξη έλαβε χώρα τον Σεπτέμβριο του 2023 με σκοπό την προτυποποίηση και πλήρη εφαρμογή της διαδικασίας. Η λειτουργία της Ψηφιοποιημένης Ενιαίας Λίστας Χειρουργείου έχει ξεκινήσει να λειτουργεί πιλοτικά, με τα περισσότερα Νοσοκομεία της χώρας να έχουν ήδη ενταχθεί σε αυτή και εντός των επόμενων εβδομάδων, αναμένεται η Ψηφιοποιημένη Ενιαία Λίστα Χειρουργείου να είναι σε πλήρη ισχύ. </w:t>
      </w:r>
    </w:p>
    <w:p w:rsidR="00CE74FC" w:rsidRDefault="00CE74FC">
      <w:pPr>
        <w:keepNext/>
        <w:keepLines/>
        <w:spacing w:before="240" w:line="360" w:lineRule="auto"/>
        <w:jc w:val="both"/>
        <w:rPr>
          <w:rFonts w:ascii="Arial" w:hAnsi="Arial" w:cs="Arial"/>
          <w:color w:val="002060"/>
          <w:sz w:val="24"/>
        </w:rPr>
      </w:pPr>
      <w:r>
        <w:rPr>
          <w:rFonts w:ascii="Arial" w:hAnsi="Arial" w:cs="Arial"/>
          <w:color w:val="002060"/>
          <w:sz w:val="24"/>
        </w:rPr>
        <w:t xml:space="preserve">Ποια είναι η υφιστάμενη κατάσταση στην χώρα μας σχετικά με την διάρκεια  αναμονής των πολιτών για χειρουργική επέμβαση; </w:t>
      </w:r>
    </w:p>
    <w:p w:rsidR="00CE74FC" w:rsidRDefault="00CE74FC">
      <w:pPr>
        <w:spacing w:after="160" w:line="259" w:lineRule="auto"/>
        <w:jc w:val="both"/>
        <w:rPr>
          <w:rFonts w:ascii="Arial" w:hAnsi="Arial" w:cs="Arial"/>
        </w:rPr>
      </w:pPr>
      <w:r>
        <w:rPr>
          <w:rFonts w:ascii="Arial" w:hAnsi="Arial" w:cs="Arial"/>
        </w:rPr>
        <w:t xml:space="preserve">Ο συνολικός αριθμός εγγεγραμμένων πολιτών στην Λίστα Χειρουργείου στην Ελλάδα, μέχρι και το τέλος του 2023, ανέρχεται στους 102.000 πολίτες. </w:t>
      </w:r>
    </w:p>
    <w:p w:rsidR="00CE74FC" w:rsidRDefault="00CE74FC">
      <w:pPr>
        <w:spacing w:after="160" w:line="259" w:lineRule="auto"/>
        <w:jc w:val="both"/>
        <w:rPr>
          <w:rFonts w:ascii="Arial" w:hAnsi="Arial" w:cs="Arial"/>
        </w:rPr>
      </w:pPr>
      <w:r>
        <w:rPr>
          <w:rFonts w:ascii="Arial" w:hAnsi="Arial" w:cs="Arial"/>
        </w:rPr>
        <w:t>Το 43% των περιστατικών, αναμένουν για χειρουργική επέμβαση λιγότερο από 4 μήνες. Από 4 έως 12 μήνες περιμένει το 31% της συνολικής Λίστας, ενώ για περισσότερο 12 μήνες αναμένει το 26% των ασθενών.</w:t>
      </w:r>
    </w:p>
    <w:p w:rsidR="00CE74FC" w:rsidRDefault="00CE74FC">
      <w:pPr>
        <w:spacing w:after="160" w:line="259" w:lineRule="auto"/>
        <w:jc w:val="both"/>
        <w:rPr>
          <w:rFonts w:ascii="Arial" w:hAnsi="Arial" w:cs="Arial"/>
        </w:rPr>
      </w:pPr>
    </w:p>
    <w:p w:rsidR="00CE74FC" w:rsidRDefault="00CE74FC">
      <w:pPr>
        <w:keepNext/>
        <w:keepLines/>
        <w:spacing w:before="240" w:line="360" w:lineRule="auto"/>
        <w:jc w:val="both"/>
        <w:rPr>
          <w:rFonts w:ascii="Arial" w:hAnsi="Arial" w:cs="Arial"/>
          <w:color w:val="002060"/>
          <w:sz w:val="24"/>
        </w:rPr>
      </w:pPr>
      <w:r>
        <w:rPr>
          <w:rFonts w:ascii="Arial" w:hAnsi="Arial" w:cs="Arial"/>
          <w:color w:val="002060"/>
          <w:sz w:val="24"/>
        </w:rPr>
        <w:t>Ποια είναι η γεωγραφική κατανομή για τους πολίτες που αναμένουν χειρουργική επέμβαση από 4 έως 12 μήνες;</w:t>
      </w:r>
    </w:p>
    <w:p w:rsidR="00CE74FC" w:rsidRDefault="00CE74FC">
      <w:pPr>
        <w:spacing w:after="160" w:line="259" w:lineRule="auto"/>
        <w:jc w:val="both"/>
        <w:rPr>
          <w:rFonts w:ascii="Arial" w:hAnsi="Arial" w:cs="Arial"/>
        </w:rPr>
      </w:pPr>
      <w:r>
        <w:rPr>
          <w:rFonts w:ascii="Arial" w:hAnsi="Arial" w:cs="Arial"/>
        </w:rPr>
        <w:t>Το σύνολο των πολιτών που περιμένουν να χειρουργηθούν περισσότερο από 4 και λιγότερο από 12 μήνες, είναι 31.954. Ο καταμερισμός των περιστατικών στην ελληνική επικράτεια ακολουθεί την παρακάτω κατανομή για περίοδο αναμονής 4 έως 12 μήνες.</w:t>
      </w:r>
    </w:p>
    <w:p w:rsidR="00CE74FC" w:rsidRDefault="00CE74FC">
      <w:pPr>
        <w:numPr>
          <w:ilvl w:val="0"/>
          <w:numId w:val="4"/>
        </w:numPr>
        <w:spacing w:after="160" w:line="259" w:lineRule="auto"/>
        <w:ind w:left="720" w:hanging="360"/>
        <w:jc w:val="both"/>
        <w:rPr>
          <w:rFonts w:ascii="Arial" w:hAnsi="Arial" w:cs="Arial"/>
        </w:rPr>
      </w:pPr>
      <w:r>
        <w:rPr>
          <w:rFonts w:ascii="Arial" w:hAnsi="Arial" w:cs="Arial"/>
        </w:rPr>
        <w:t>Βόρεια Ελλάδα – 14.060 περιστατικά (44%)</w:t>
      </w:r>
    </w:p>
    <w:p w:rsidR="00CE74FC" w:rsidRDefault="00CE74FC">
      <w:pPr>
        <w:numPr>
          <w:ilvl w:val="0"/>
          <w:numId w:val="4"/>
        </w:numPr>
        <w:spacing w:after="160" w:line="259" w:lineRule="auto"/>
        <w:ind w:left="720" w:hanging="360"/>
        <w:jc w:val="both"/>
        <w:rPr>
          <w:rFonts w:ascii="Arial" w:hAnsi="Arial" w:cs="Arial"/>
        </w:rPr>
      </w:pPr>
      <w:r>
        <w:rPr>
          <w:rFonts w:ascii="Arial" w:hAnsi="Arial" w:cs="Arial"/>
        </w:rPr>
        <w:t>Αττική και νησιά Αιγαίου – 11.183 περιστατικά (35%)</w:t>
      </w:r>
    </w:p>
    <w:p w:rsidR="00CE74FC" w:rsidRDefault="00CE74FC">
      <w:pPr>
        <w:numPr>
          <w:ilvl w:val="0"/>
          <w:numId w:val="4"/>
        </w:numPr>
        <w:spacing w:after="160" w:line="259" w:lineRule="auto"/>
        <w:ind w:left="720" w:hanging="360"/>
        <w:jc w:val="both"/>
        <w:rPr>
          <w:rFonts w:ascii="Arial" w:hAnsi="Arial" w:cs="Arial"/>
        </w:rPr>
      </w:pPr>
      <w:r>
        <w:rPr>
          <w:rFonts w:ascii="Arial" w:hAnsi="Arial" w:cs="Arial"/>
        </w:rPr>
        <w:t>Κρήτη – 3.515 περιστατικά (11%)</w:t>
      </w:r>
    </w:p>
    <w:p w:rsidR="00CE74FC" w:rsidRDefault="00CE74FC">
      <w:pPr>
        <w:numPr>
          <w:ilvl w:val="0"/>
          <w:numId w:val="4"/>
        </w:numPr>
        <w:spacing w:after="160" w:line="259" w:lineRule="auto"/>
        <w:ind w:left="720" w:hanging="360"/>
        <w:jc w:val="both"/>
        <w:rPr>
          <w:rFonts w:ascii="Arial" w:hAnsi="Arial" w:cs="Arial"/>
        </w:rPr>
      </w:pPr>
      <w:r>
        <w:rPr>
          <w:rFonts w:ascii="Arial" w:hAnsi="Arial" w:cs="Arial"/>
        </w:rPr>
        <w:t>Δυτική Ελλάδα και Πελοπόννησος – 2.557 περιστατικά (8%)</w:t>
      </w:r>
    </w:p>
    <w:p w:rsidR="00CE74FC" w:rsidRDefault="00CE74FC">
      <w:pPr>
        <w:numPr>
          <w:ilvl w:val="0"/>
          <w:numId w:val="4"/>
        </w:numPr>
        <w:spacing w:after="160" w:line="259" w:lineRule="auto"/>
        <w:ind w:left="720" w:hanging="360"/>
        <w:jc w:val="both"/>
        <w:rPr>
          <w:rFonts w:ascii="Arial" w:hAnsi="Arial" w:cs="Arial"/>
        </w:rPr>
      </w:pPr>
      <w:r>
        <w:rPr>
          <w:rFonts w:ascii="Arial" w:hAnsi="Arial" w:cs="Arial"/>
        </w:rPr>
        <w:t>Κεντρική Ελλάδα - 639 περιστατικά (2%)</w:t>
      </w:r>
    </w:p>
    <w:p w:rsidR="00CE74FC" w:rsidRDefault="00CE74FC">
      <w:pPr>
        <w:spacing w:after="160" w:line="259" w:lineRule="auto"/>
        <w:jc w:val="both"/>
        <w:rPr>
          <w:rFonts w:ascii="Arial" w:hAnsi="Arial" w:cs="Arial"/>
        </w:rPr>
      </w:pPr>
    </w:p>
    <w:p w:rsidR="00CE74FC" w:rsidRDefault="00CE74FC">
      <w:pPr>
        <w:keepNext/>
        <w:keepLines/>
        <w:spacing w:before="240" w:line="360" w:lineRule="auto"/>
        <w:jc w:val="both"/>
        <w:rPr>
          <w:rFonts w:ascii="Arial" w:hAnsi="Arial" w:cs="Arial"/>
          <w:color w:val="002060"/>
          <w:sz w:val="24"/>
        </w:rPr>
      </w:pPr>
      <w:r>
        <w:rPr>
          <w:rFonts w:ascii="Arial" w:hAnsi="Arial" w:cs="Arial"/>
          <w:color w:val="002060"/>
          <w:sz w:val="24"/>
        </w:rPr>
        <w:t>Ποια είναι η γεωγραφική κατανομή για τους πολίτες που αναμένουν χειρουργική επέμβαση περισσότερο από 12 μήνες;</w:t>
      </w:r>
    </w:p>
    <w:p w:rsidR="00CE74FC" w:rsidRDefault="00CE74FC">
      <w:pPr>
        <w:spacing w:after="160" w:line="259" w:lineRule="auto"/>
        <w:jc w:val="both"/>
        <w:rPr>
          <w:rFonts w:ascii="Arial" w:hAnsi="Arial" w:cs="Arial"/>
        </w:rPr>
      </w:pPr>
      <w:r>
        <w:rPr>
          <w:rFonts w:ascii="Arial" w:hAnsi="Arial" w:cs="Arial"/>
        </w:rPr>
        <w:t>Το σύνολο των πολιτών που περιμένουν να χειρουργηθούν περισσότερο από 12 μήνες, είναι 26.221. Ο καταμερισμός των περιστατικών στην ελληνική επικράτεια ακολουθεί την παρακάτω κατανομή για περίοδο αναμονής περισσότερο από 12 μήνες.</w:t>
      </w:r>
    </w:p>
    <w:p w:rsidR="00CE74FC" w:rsidRDefault="00CE74FC">
      <w:pPr>
        <w:numPr>
          <w:ilvl w:val="0"/>
          <w:numId w:val="5"/>
        </w:numPr>
        <w:spacing w:after="160" w:line="259" w:lineRule="auto"/>
        <w:ind w:left="720" w:hanging="360"/>
        <w:jc w:val="both"/>
        <w:rPr>
          <w:rFonts w:ascii="Arial" w:hAnsi="Arial" w:cs="Arial"/>
        </w:rPr>
      </w:pPr>
      <w:r>
        <w:rPr>
          <w:rFonts w:ascii="Arial" w:hAnsi="Arial" w:cs="Arial"/>
        </w:rPr>
        <w:t>Βόρεια Ελλάδα – 13.897 περιστατικά (53%)</w:t>
      </w:r>
    </w:p>
    <w:p w:rsidR="00CE74FC" w:rsidRDefault="00CE74FC">
      <w:pPr>
        <w:numPr>
          <w:ilvl w:val="0"/>
          <w:numId w:val="5"/>
        </w:numPr>
        <w:spacing w:after="160" w:line="259" w:lineRule="auto"/>
        <w:ind w:left="720" w:hanging="360"/>
        <w:jc w:val="both"/>
        <w:rPr>
          <w:rFonts w:ascii="Arial" w:hAnsi="Arial" w:cs="Arial"/>
        </w:rPr>
      </w:pPr>
      <w:r>
        <w:rPr>
          <w:rFonts w:ascii="Arial" w:hAnsi="Arial" w:cs="Arial"/>
        </w:rPr>
        <w:t>Αττική και νησιά Αιγαίου – 6.566 περιστατικά (25%)</w:t>
      </w:r>
    </w:p>
    <w:p w:rsidR="00CE74FC" w:rsidRDefault="00CE74FC">
      <w:pPr>
        <w:numPr>
          <w:ilvl w:val="0"/>
          <w:numId w:val="5"/>
        </w:numPr>
        <w:spacing w:after="160" w:line="259" w:lineRule="auto"/>
        <w:ind w:left="720" w:hanging="360"/>
        <w:jc w:val="both"/>
        <w:rPr>
          <w:rFonts w:ascii="Arial" w:hAnsi="Arial" w:cs="Arial"/>
        </w:rPr>
      </w:pPr>
      <w:r>
        <w:rPr>
          <w:rFonts w:ascii="Arial" w:hAnsi="Arial" w:cs="Arial"/>
        </w:rPr>
        <w:t>Κρήτη –4.447 περιστατικά (17%)</w:t>
      </w:r>
    </w:p>
    <w:p w:rsidR="00CE74FC" w:rsidRDefault="00CE74FC">
      <w:pPr>
        <w:numPr>
          <w:ilvl w:val="0"/>
          <w:numId w:val="5"/>
        </w:numPr>
        <w:spacing w:after="160" w:line="259" w:lineRule="auto"/>
        <w:ind w:left="720" w:hanging="360"/>
        <w:jc w:val="both"/>
        <w:rPr>
          <w:rFonts w:ascii="Arial" w:hAnsi="Arial" w:cs="Arial"/>
        </w:rPr>
      </w:pPr>
      <w:r>
        <w:rPr>
          <w:rFonts w:ascii="Arial" w:hAnsi="Arial" w:cs="Arial"/>
        </w:rPr>
        <w:t>Δυτική Ελλάδα και Πελοπόννησος – 1.049 περιστατικά (4%)</w:t>
      </w:r>
    </w:p>
    <w:p w:rsidR="00CE74FC" w:rsidRDefault="00CE74FC">
      <w:pPr>
        <w:numPr>
          <w:ilvl w:val="0"/>
          <w:numId w:val="5"/>
        </w:numPr>
        <w:spacing w:after="160" w:line="259" w:lineRule="auto"/>
        <w:ind w:left="720" w:hanging="360"/>
        <w:jc w:val="both"/>
        <w:rPr>
          <w:rFonts w:ascii="Arial" w:hAnsi="Arial" w:cs="Arial"/>
        </w:rPr>
      </w:pPr>
      <w:r>
        <w:rPr>
          <w:rFonts w:ascii="Arial" w:hAnsi="Arial" w:cs="Arial"/>
        </w:rPr>
        <w:t>Κεντρική Ελλάδα - 262 περιστατικά (1%)</w:t>
      </w:r>
    </w:p>
    <w:p w:rsidR="00CE74FC" w:rsidRDefault="00CE74FC">
      <w:pPr>
        <w:spacing w:after="160" w:line="259" w:lineRule="auto"/>
        <w:jc w:val="both"/>
        <w:rPr>
          <w:rFonts w:ascii="Arial" w:hAnsi="Arial" w:cs="Arial"/>
        </w:rPr>
      </w:pPr>
      <w:r>
        <w:rPr>
          <w:rFonts w:ascii="Arial" w:hAnsi="Arial" w:cs="Arial"/>
        </w:rPr>
        <w:t xml:space="preserve"> </w:t>
      </w:r>
    </w:p>
    <w:p w:rsidR="00CE74FC" w:rsidRDefault="00CE74FC">
      <w:pPr>
        <w:keepNext/>
        <w:keepLines/>
        <w:spacing w:before="240" w:line="360" w:lineRule="auto"/>
        <w:jc w:val="both"/>
        <w:rPr>
          <w:rFonts w:ascii="Arial" w:hAnsi="Arial" w:cs="Arial"/>
          <w:color w:val="002060"/>
          <w:sz w:val="24"/>
        </w:rPr>
      </w:pPr>
      <w:r>
        <w:rPr>
          <w:rFonts w:ascii="Arial" w:hAnsi="Arial" w:cs="Arial"/>
          <w:color w:val="002060"/>
          <w:sz w:val="24"/>
        </w:rPr>
        <w:t>Για να βγουν τα στοιχεία έγινε ανάλυση; Σε τι βάθος; Υπάρχουν λεπτομερή δεδομένα και σε επίπεδο νοσοκομείου;</w:t>
      </w:r>
    </w:p>
    <w:p w:rsidR="00CE74FC" w:rsidRDefault="00CE74FC">
      <w:pPr>
        <w:spacing w:after="160" w:line="259" w:lineRule="auto"/>
        <w:jc w:val="both"/>
        <w:rPr>
          <w:rFonts w:ascii="Arial" w:hAnsi="Arial" w:cs="Arial"/>
        </w:rPr>
      </w:pPr>
      <w:r>
        <w:rPr>
          <w:rFonts w:ascii="Arial" w:hAnsi="Arial" w:cs="Arial"/>
        </w:rPr>
        <w:t xml:space="preserve">Για την καταγραφή και τον υπολογισμό των δεδομένων έγινε εκτενής ανάλυση μέχρι και σε επίπεδο κλινικής νοσοκομείου, για όλα τα Νοσοκομεία της χώρας που διενεργούν χειρουργικές επεμβάσεις. </w:t>
      </w:r>
    </w:p>
    <w:p w:rsidR="00CE74FC" w:rsidRDefault="00CE74FC">
      <w:pPr>
        <w:spacing w:after="160" w:line="259" w:lineRule="auto"/>
        <w:jc w:val="both"/>
        <w:rPr>
          <w:rFonts w:ascii="Arial" w:hAnsi="Arial" w:cs="Arial"/>
        </w:rPr>
      </w:pPr>
      <w:r>
        <w:rPr>
          <w:rFonts w:ascii="Arial" w:hAnsi="Arial" w:cs="Arial"/>
        </w:rPr>
        <w:t xml:space="preserve">Για παράδειγμα, σε ένα από τα μεγάλα Νοσοκομεία της Αθήνας (περισσότερες από 400 κλίνες), το οποίο δέχεται μεγάλο όγκο πολιτών για χειρουργική επέμβαση, στην καρδιοχειρουργική κλινική ο χρόνος αναμονής για χειρουργική επέμβαση είναι 4-12 μήνες και είναι σε αναμονή 424 πολίτες. </w:t>
      </w:r>
    </w:p>
    <w:p w:rsidR="00CE74FC" w:rsidRDefault="00CE74FC">
      <w:pPr>
        <w:spacing w:after="160" w:line="259" w:lineRule="auto"/>
        <w:jc w:val="both"/>
        <w:rPr>
          <w:rFonts w:ascii="Arial" w:hAnsi="Arial" w:cs="Arial"/>
        </w:rPr>
      </w:pPr>
      <w:r>
        <w:rPr>
          <w:rFonts w:ascii="Arial" w:hAnsi="Arial" w:cs="Arial"/>
        </w:rPr>
        <w:t>Σε αντίστοιχου μεγέθους Νοσοκομείου της Θεσσαλονίκης στην Ορθοπεδική κλινική ο χρόνος αναμονής είναι 4-12 μήνες και σε αναμονή για χειρουργείο είναι 624 πολίτες.</w:t>
      </w:r>
    </w:p>
    <w:p w:rsidR="00CE74FC" w:rsidRDefault="00CE74FC">
      <w:pPr>
        <w:spacing w:after="160" w:line="259" w:lineRule="auto"/>
        <w:jc w:val="both"/>
        <w:rPr>
          <w:rFonts w:ascii="Arial" w:hAnsi="Arial" w:cs="Arial"/>
          <w:color w:val="002060"/>
          <w:sz w:val="24"/>
        </w:rPr>
      </w:pPr>
      <w:r>
        <w:rPr>
          <w:rFonts w:ascii="Arial" w:hAnsi="Arial" w:cs="Arial"/>
        </w:rPr>
        <w:t xml:space="preserve"> </w:t>
      </w:r>
    </w:p>
    <w:p w:rsidR="00CE74FC" w:rsidRDefault="00CE74FC">
      <w:pPr>
        <w:keepNext/>
        <w:keepLines/>
        <w:spacing w:before="240" w:line="360" w:lineRule="auto"/>
        <w:jc w:val="both"/>
        <w:rPr>
          <w:rFonts w:ascii="Arial" w:hAnsi="Arial" w:cs="Arial"/>
          <w:color w:val="002060"/>
          <w:sz w:val="24"/>
        </w:rPr>
      </w:pPr>
      <w:r>
        <w:rPr>
          <w:rFonts w:ascii="Arial" w:hAnsi="Arial" w:cs="Arial"/>
          <w:color w:val="002060"/>
          <w:sz w:val="24"/>
        </w:rPr>
        <w:t>Ποια είναι η λύση για να μειωθεί ο αριθμός των περιστατικών που αναμένουν να χειρουργηθούν;</w:t>
      </w:r>
    </w:p>
    <w:p w:rsidR="00CE74FC" w:rsidRDefault="00CE74FC">
      <w:pPr>
        <w:spacing w:after="160" w:line="259" w:lineRule="auto"/>
        <w:jc w:val="both"/>
        <w:rPr>
          <w:rFonts w:ascii="Arial" w:hAnsi="Arial" w:cs="Arial"/>
        </w:rPr>
      </w:pPr>
      <w:r>
        <w:rPr>
          <w:rFonts w:ascii="Arial" w:hAnsi="Arial" w:cs="Arial"/>
        </w:rPr>
        <w:t xml:space="preserve">Το Υπουργείο Υγείας με στόχο την μείωση των αναμονών για χειρουργική επέμβαση, εξέτασε όλες τις πιθανές επιλογές και τα δυνητικά οφέλη για κάθε μία από αυτές. Η λύση που προκρίθηκε και θα έχει άμεση εφαρμογή είναι η ενεργοποίηση των απογευματινών χειρουργείων. Με αυτόν τον τρόπο καθημερινά θα πραγματοποιούνται περισσότερα χειρουργεία προκειμένου να εξυπηρετηθούν όσο το δυνατόν περισσότεροι πολίτες.  Σύμφωνα με τη μελέτη που έγινε, η δυναμικότητα του συστήματος με τα απογευματινά χειρουργεία αναμένεται να αυξηθεί πάνω από 20%. </w:t>
      </w:r>
    </w:p>
    <w:p w:rsidR="00CE74FC" w:rsidRDefault="00CE74FC">
      <w:pPr>
        <w:spacing w:after="160" w:line="259" w:lineRule="auto"/>
        <w:jc w:val="both"/>
        <w:rPr>
          <w:rFonts w:ascii="Arial" w:hAnsi="Arial" w:cs="Arial"/>
        </w:rPr>
      </w:pPr>
    </w:p>
    <w:p w:rsidR="00CE74FC" w:rsidRDefault="00CE74FC">
      <w:pPr>
        <w:keepNext/>
        <w:keepLines/>
        <w:spacing w:before="240" w:line="360" w:lineRule="auto"/>
        <w:jc w:val="both"/>
        <w:rPr>
          <w:rFonts w:ascii="Arial" w:hAnsi="Arial" w:cs="Arial"/>
          <w:color w:val="002060"/>
          <w:sz w:val="24"/>
        </w:rPr>
      </w:pPr>
      <w:r>
        <w:rPr>
          <w:rFonts w:ascii="Arial" w:hAnsi="Arial" w:cs="Arial"/>
          <w:color w:val="002060"/>
          <w:sz w:val="24"/>
        </w:rPr>
        <w:t>Ποιο είναι το κόστος για τον πολίτη, ποιος θα καλύψει τα έξοδα για τα απογευματινά χειρουργεία;</w:t>
      </w:r>
    </w:p>
    <w:p w:rsidR="00CE74FC" w:rsidRDefault="00CE74FC">
      <w:pPr>
        <w:spacing w:after="160" w:line="259" w:lineRule="auto"/>
        <w:jc w:val="both"/>
        <w:rPr>
          <w:rFonts w:ascii="Arial" w:hAnsi="Arial" w:cs="Arial"/>
        </w:rPr>
      </w:pPr>
      <w:r>
        <w:rPr>
          <w:rFonts w:ascii="Arial" w:hAnsi="Arial" w:cs="Arial"/>
        </w:rPr>
        <w:t xml:space="preserve">Για την διενέργεια απογευματινών χειρουργείων στα Νοσοκομεία της χώρας, έχει εξασφαλιστεί χρηματοδότηση από το Ταμείο Ανάκαμψης και Ανθεκτικότητας με σκοπό να μην επιβαρυνθούν οικονομικά οι πολίτες. Πιο συγκεκριμένα, 60 εκατομμύρια ευρώ θα αξιοποιηθούν από το Ταμείο για την εξυπηρέτηση των πολιτών που αναμένουν χειρουργική επέμβαση. Η συγκεκριμένη χρηματοδότηση αφορά τη διενέργεια χειρουργείων για ανθρώπους που παραμένουν στις Λίστες Χειρουργείου για μεγάλο χρονικό διάστημα. Η προτεραιοποίηση τους θα γίνει με χρονολογική σειρά (από παλαιότερη σε νεότερη), όπως αυτή αποτυπώνεται στην Ενιαία Λίστα Χειρουργείων. </w:t>
      </w:r>
    </w:p>
    <w:p w:rsidR="00CE74FC" w:rsidRDefault="00CE74FC">
      <w:pPr>
        <w:keepNext/>
        <w:keepLines/>
        <w:spacing w:before="240" w:line="360" w:lineRule="auto"/>
        <w:jc w:val="both"/>
        <w:rPr>
          <w:rFonts w:ascii="Arial" w:hAnsi="Arial" w:cs="Arial"/>
          <w:color w:val="002060"/>
          <w:sz w:val="24"/>
        </w:rPr>
      </w:pPr>
    </w:p>
    <w:p w:rsidR="00CE74FC" w:rsidRDefault="00CE74FC">
      <w:pPr>
        <w:keepNext/>
        <w:keepLines/>
        <w:spacing w:before="240" w:line="360" w:lineRule="auto"/>
        <w:jc w:val="both"/>
        <w:rPr>
          <w:rFonts w:ascii="Arial" w:hAnsi="Arial" w:cs="Arial"/>
          <w:color w:val="002060"/>
          <w:sz w:val="24"/>
        </w:rPr>
      </w:pPr>
      <w:r>
        <w:rPr>
          <w:rFonts w:ascii="Arial" w:hAnsi="Arial" w:cs="Arial"/>
          <w:color w:val="002060"/>
          <w:sz w:val="24"/>
        </w:rPr>
        <w:t>Ποια είναι τα πιο συχνά είδη επέμβασης που βρίσκονται στις Λίστες Χειρουργείου;</w:t>
      </w:r>
    </w:p>
    <w:p w:rsidR="00CE74FC" w:rsidRDefault="00CE74FC">
      <w:pPr>
        <w:spacing w:after="160" w:line="259" w:lineRule="auto"/>
        <w:jc w:val="both"/>
        <w:rPr>
          <w:rFonts w:ascii="Arial" w:hAnsi="Arial" w:cs="Arial"/>
        </w:rPr>
      </w:pPr>
      <w:r>
        <w:rPr>
          <w:rFonts w:ascii="Arial" w:hAnsi="Arial" w:cs="Arial"/>
        </w:rPr>
        <w:t>Σύμφωνα με την ανάλυση του Υπουργείου Υγείας, οι βασικές κατηγορίες επέμβασης που παρατηρούνται στα Νοσοκομεία φαίνονται στον παρακάτω πίνακα. Αξίζει να σημειωθεί ότι πάνω</w:t>
      </w:r>
      <w:r>
        <w:rPr>
          <w:rFonts w:ascii="Arial" w:hAnsi="Arial" w:cs="Arial"/>
          <w:b/>
        </w:rPr>
        <w:t xml:space="preserve"> </w:t>
      </w:r>
      <w:r>
        <w:rPr>
          <w:rFonts w:ascii="Arial" w:hAnsi="Arial" w:cs="Arial"/>
        </w:rPr>
        <w:t xml:space="preserve">από το 50% των επεμβάσεων σε αναμονή στη χώρα συγκεντρώνεται στις παρακάτω 7 κατηγορίες. </w:t>
      </w:r>
    </w:p>
    <w:tbl>
      <w:tblPr>
        <w:tblW w:w="0" w:type="auto"/>
        <w:jc w:val="center"/>
        <w:tblCellMar>
          <w:left w:w="10" w:type="dxa"/>
          <w:right w:w="10" w:type="dxa"/>
        </w:tblCellMar>
        <w:tblLook w:val="0000"/>
      </w:tblPr>
      <w:tblGrid>
        <w:gridCol w:w="1349"/>
        <w:gridCol w:w="3856"/>
        <w:gridCol w:w="3091"/>
      </w:tblGrid>
      <w:tr w:rsidR="00CE74FC" w:rsidRPr="00E73EC0">
        <w:tblPrEx>
          <w:tblCellMar>
            <w:top w:w="0" w:type="dxa"/>
            <w:bottom w:w="0" w:type="dxa"/>
          </w:tblCellMar>
        </w:tblPrEx>
        <w:trPr>
          <w:trHeight w:val="357"/>
          <w:jc w:val="center"/>
        </w:trPr>
        <w:tc>
          <w:tcPr>
            <w:tcW w:w="1349" w:type="dxa"/>
            <w:tcBorders>
              <w:top w:val="single" w:sz="4" w:space="0" w:color="4472C4"/>
              <w:left w:val="single" w:sz="4" w:space="0" w:color="4472C4"/>
              <w:bottom w:val="single" w:sz="4" w:space="0" w:color="4472C4"/>
              <w:right w:val="single" w:sz="4" w:space="0" w:color="836967"/>
            </w:tcBorders>
            <w:shd w:val="clear" w:color="auto" w:fill="002060"/>
            <w:tcMar>
              <w:left w:w="108" w:type="dxa"/>
              <w:right w:w="108" w:type="dxa"/>
            </w:tcMar>
            <w:vAlign w:val="center"/>
          </w:tcPr>
          <w:p w:rsidR="00CE74FC" w:rsidRPr="00E73EC0" w:rsidRDefault="00CE74FC">
            <w:pPr>
              <w:jc w:val="center"/>
            </w:pPr>
            <w:r>
              <w:rPr>
                <w:rFonts w:ascii="Arial" w:hAnsi="Arial" w:cs="Arial"/>
              </w:rPr>
              <w:t>Α/Α</w:t>
            </w:r>
          </w:p>
        </w:tc>
        <w:tc>
          <w:tcPr>
            <w:tcW w:w="3856" w:type="dxa"/>
            <w:tcBorders>
              <w:top w:val="single" w:sz="4" w:space="0" w:color="4472C4"/>
              <w:left w:val="single" w:sz="4" w:space="0" w:color="836967"/>
              <w:bottom w:val="single" w:sz="4" w:space="0" w:color="4472C4"/>
              <w:right w:val="single" w:sz="4" w:space="0" w:color="836967"/>
            </w:tcBorders>
            <w:shd w:val="clear" w:color="auto" w:fill="002060"/>
            <w:tcMar>
              <w:left w:w="108" w:type="dxa"/>
              <w:right w:w="108" w:type="dxa"/>
            </w:tcMar>
            <w:vAlign w:val="center"/>
          </w:tcPr>
          <w:p w:rsidR="00CE74FC" w:rsidRPr="00E73EC0" w:rsidRDefault="00CE74FC">
            <w:pPr>
              <w:jc w:val="both"/>
            </w:pPr>
            <w:r>
              <w:rPr>
                <w:rFonts w:ascii="Arial" w:hAnsi="Arial" w:cs="Arial"/>
              </w:rPr>
              <w:t>Είδος Επέμβασης</w:t>
            </w:r>
          </w:p>
        </w:tc>
        <w:tc>
          <w:tcPr>
            <w:tcW w:w="3091" w:type="dxa"/>
            <w:tcBorders>
              <w:top w:val="single" w:sz="4" w:space="0" w:color="4472C4"/>
              <w:left w:val="single" w:sz="4" w:space="0" w:color="836967"/>
              <w:bottom w:val="single" w:sz="4" w:space="0" w:color="4472C4"/>
              <w:right w:val="single" w:sz="4" w:space="0" w:color="836967"/>
            </w:tcBorders>
            <w:shd w:val="clear" w:color="auto" w:fill="002060"/>
            <w:tcMar>
              <w:left w:w="108" w:type="dxa"/>
              <w:right w:w="108" w:type="dxa"/>
            </w:tcMar>
            <w:vAlign w:val="center"/>
          </w:tcPr>
          <w:p w:rsidR="00CE74FC" w:rsidRPr="00E73EC0" w:rsidRDefault="00CE74FC">
            <w:pPr>
              <w:jc w:val="center"/>
            </w:pPr>
            <w:r>
              <w:rPr>
                <w:rFonts w:ascii="Arial" w:hAnsi="Arial" w:cs="Arial"/>
              </w:rPr>
              <w:t>% επί του Συνόλου</w:t>
            </w:r>
          </w:p>
        </w:tc>
      </w:tr>
      <w:tr w:rsidR="00CE74FC" w:rsidRPr="00E73EC0">
        <w:tblPrEx>
          <w:tblCellMar>
            <w:top w:w="0" w:type="dxa"/>
            <w:bottom w:w="0" w:type="dxa"/>
          </w:tblCellMar>
        </w:tblPrEx>
        <w:trPr>
          <w:trHeight w:val="357"/>
          <w:jc w:val="center"/>
        </w:trPr>
        <w:tc>
          <w:tcPr>
            <w:tcW w:w="1349" w:type="dxa"/>
            <w:tcBorders>
              <w:top w:val="single" w:sz="4" w:space="0" w:color="4472C4"/>
              <w:left w:val="single" w:sz="4" w:space="0" w:color="4472C4"/>
              <w:bottom w:val="single" w:sz="4" w:space="0" w:color="4472C4"/>
              <w:right w:val="single" w:sz="4" w:space="0" w:color="1F3864"/>
            </w:tcBorders>
            <w:shd w:val="clear" w:color="000000" w:fill="FFFFFF"/>
            <w:tcMar>
              <w:left w:w="108" w:type="dxa"/>
              <w:right w:w="108" w:type="dxa"/>
            </w:tcMar>
            <w:vAlign w:val="center"/>
          </w:tcPr>
          <w:p w:rsidR="00CE74FC" w:rsidRPr="00E73EC0" w:rsidRDefault="00CE74FC">
            <w:pPr>
              <w:jc w:val="center"/>
            </w:pPr>
            <w:r>
              <w:rPr>
                <w:rFonts w:ascii="Arial" w:hAnsi="Arial" w:cs="Arial"/>
              </w:rPr>
              <w:t>1</w:t>
            </w:r>
          </w:p>
        </w:tc>
        <w:tc>
          <w:tcPr>
            <w:tcW w:w="3856" w:type="dxa"/>
            <w:tcBorders>
              <w:top w:val="single" w:sz="4" w:space="0" w:color="4472C4"/>
              <w:left w:val="single" w:sz="4" w:space="0" w:color="1F3864"/>
              <w:bottom w:val="single" w:sz="4" w:space="0" w:color="4472C4"/>
              <w:right w:val="single" w:sz="4" w:space="0" w:color="1F3864"/>
            </w:tcBorders>
            <w:shd w:val="clear" w:color="000000" w:fill="FFFFFF"/>
            <w:tcMar>
              <w:left w:w="108" w:type="dxa"/>
              <w:right w:w="108" w:type="dxa"/>
            </w:tcMar>
            <w:vAlign w:val="center"/>
          </w:tcPr>
          <w:p w:rsidR="00CE74FC" w:rsidRPr="00E73EC0" w:rsidRDefault="00CE74FC">
            <w:pPr>
              <w:jc w:val="both"/>
            </w:pPr>
            <w:r>
              <w:rPr>
                <w:rFonts w:ascii="Arial" w:hAnsi="Arial" w:cs="Arial"/>
              </w:rPr>
              <w:t>Επέμβαση Καταρράκτη</w:t>
            </w:r>
          </w:p>
        </w:tc>
        <w:tc>
          <w:tcPr>
            <w:tcW w:w="3091" w:type="dxa"/>
            <w:tcBorders>
              <w:top w:val="single" w:sz="4" w:space="0" w:color="4472C4"/>
              <w:left w:val="single" w:sz="4" w:space="0" w:color="1F3864"/>
              <w:bottom w:val="single" w:sz="4" w:space="0" w:color="4472C4"/>
              <w:right w:val="single" w:sz="4" w:space="0" w:color="4472C4"/>
            </w:tcBorders>
            <w:shd w:val="clear" w:color="000000" w:fill="FFFFFF"/>
            <w:tcMar>
              <w:left w:w="108" w:type="dxa"/>
              <w:right w:w="108" w:type="dxa"/>
            </w:tcMar>
            <w:vAlign w:val="center"/>
          </w:tcPr>
          <w:p w:rsidR="00CE74FC" w:rsidRPr="00E73EC0" w:rsidRDefault="00CE74FC">
            <w:pPr>
              <w:jc w:val="center"/>
            </w:pPr>
            <w:r>
              <w:rPr>
                <w:rFonts w:ascii="Arial" w:hAnsi="Arial" w:cs="Arial"/>
              </w:rPr>
              <w:t>18%</w:t>
            </w:r>
          </w:p>
        </w:tc>
      </w:tr>
      <w:tr w:rsidR="00CE74FC" w:rsidRPr="00E73EC0">
        <w:tblPrEx>
          <w:tblCellMar>
            <w:top w:w="0" w:type="dxa"/>
            <w:bottom w:w="0" w:type="dxa"/>
          </w:tblCellMar>
        </w:tblPrEx>
        <w:trPr>
          <w:trHeight w:val="357"/>
          <w:jc w:val="center"/>
        </w:trPr>
        <w:tc>
          <w:tcPr>
            <w:tcW w:w="1349" w:type="dxa"/>
            <w:tcBorders>
              <w:top w:val="single" w:sz="4" w:space="0" w:color="4472C4"/>
              <w:left w:val="single" w:sz="4" w:space="0" w:color="4472C4"/>
              <w:bottom w:val="single" w:sz="4" w:space="0" w:color="4472C4"/>
              <w:right w:val="single" w:sz="4" w:space="0" w:color="1F3864"/>
            </w:tcBorders>
            <w:shd w:val="clear" w:color="000000" w:fill="FFFFFF"/>
            <w:tcMar>
              <w:left w:w="108" w:type="dxa"/>
              <w:right w:w="108" w:type="dxa"/>
            </w:tcMar>
            <w:vAlign w:val="center"/>
          </w:tcPr>
          <w:p w:rsidR="00CE74FC" w:rsidRPr="00E73EC0" w:rsidRDefault="00CE74FC">
            <w:pPr>
              <w:jc w:val="center"/>
            </w:pPr>
            <w:r>
              <w:rPr>
                <w:rFonts w:ascii="Arial" w:hAnsi="Arial" w:cs="Arial"/>
              </w:rPr>
              <w:t>2</w:t>
            </w:r>
          </w:p>
        </w:tc>
        <w:tc>
          <w:tcPr>
            <w:tcW w:w="3856" w:type="dxa"/>
            <w:tcBorders>
              <w:top w:val="single" w:sz="4" w:space="0" w:color="4472C4"/>
              <w:left w:val="single" w:sz="4" w:space="0" w:color="1F3864"/>
              <w:bottom w:val="single" w:sz="4" w:space="0" w:color="4472C4"/>
              <w:right w:val="single" w:sz="4" w:space="0" w:color="1F3864"/>
            </w:tcBorders>
            <w:shd w:val="clear" w:color="000000" w:fill="FFFFFF"/>
            <w:tcMar>
              <w:left w:w="108" w:type="dxa"/>
              <w:right w:w="108" w:type="dxa"/>
            </w:tcMar>
            <w:vAlign w:val="center"/>
          </w:tcPr>
          <w:p w:rsidR="00CE74FC" w:rsidRPr="00E73EC0" w:rsidRDefault="00CE74FC">
            <w:pPr>
              <w:jc w:val="both"/>
            </w:pPr>
            <w:r>
              <w:rPr>
                <w:rFonts w:ascii="Arial" w:hAnsi="Arial" w:cs="Arial"/>
              </w:rPr>
              <w:t>Αρθροπλαστική Γόνατος</w:t>
            </w:r>
          </w:p>
        </w:tc>
        <w:tc>
          <w:tcPr>
            <w:tcW w:w="3091" w:type="dxa"/>
            <w:tcBorders>
              <w:top w:val="single" w:sz="4" w:space="0" w:color="4472C4"/>
              <w:left w:val="single" w:sz="4" w:space="0" w:color="1F3864"/>
              <w:bottom w:val="single" w:sz="4" w:space="0" w:color="4472C4"/>
              <w:right w:val="single" w:sz="4" w:space="0" w:color="4472C4"/>
            </w:tcBorders>
            <w:shd w:val="clear" w:color="000000" w:fill="FFFFFF"/>
            <w:tcMar>
              <w:left w:w="108" w:type="dxa"/>
              <w:right w:w="108" w:type="dxa"/>
            </w:tcMar>
            <w:vAlign w:val="center"/>
          </w:tcPr>
          <w:p w:rsidR="00CE74FC" w:rsidRPr="00E73EC0" w:rsidRDefault="00CE74FC">
            <w:pPr>
              <w:jc w:val="center"/>
            </w:pPr>
            <w:r>
              <w:rPr>
                <w:rFonts w:ascii="Arial" w:hAnsi="Arial" w:cs="Arial"/>
              </w:rPr>
              <w:t>9%</w:t>
            </w:r>
          </w:p>
        </w:tc>
      </w:tr>
      <w:tr w:rsidR="00CE74FC" w:rsidRPr="00E73EC0">
        <w:tblPrEx>
          <w:tblCellMar>
            <w:top w:w="0" w:type="dxa"/>
            <w:bottom w:w="0" w:type="dxa"/>
          </w:tblCellMar>
        </w:tblPrEx>
        <w:trPr>
          <w:trHeight w:val="357"/>
          <w:jc w:val="center"/>
        </w:trPr>
        <w:tc>
          <w:tcPr>
            <w:tcW w:w="1349" w:type="dxa"/>
            <w:tcBorders>
              <w:top w:val="single" w:sz="4" w:space="0" w:color="4472C4"/>
              <w:left w:val="single" w:sz="4" w:space="0" w:color="4472C4"/>
              <w:bottom w:val="single" w:sz="4" w:space="0" w:color="4472C4"/>
              <w:right w:val="single" w:sz="4" w:space="0" w:color="1F3864"/>
            </w:tcBorders>
            <w:shd w:val="clear" w:color="000000" w:fill="FFFFFF"/>
            <w:tcMar>
              <w:left w:w="108" w:type="dxa"/>
              <w:right w:w="108" w:type="dxa"/>
            </w:tcMar>
            <w:vAlign w:val="center"/>
          </w:tcPr>
          <w:p w:rsidR="00CE74FC" w:rsidRPr="00E73EC0" w:rsidRDefault="00CE74FC">
            <w:pPr>
              <w:jc w:val="center"/>
            </w:pPr>
            <w:r>
              <w:rPr>
                <w:rFonts w:ascii="Arial" w:hAnsi="Arial" w:cs="Arial"/>
              </w:rPr>
              <w:t>3</w:t>
            </w:r>
          </w:p>
        </w:tc>
        <w:tc>
          <w:tcPr>
            <w:tcW w:w="3856" w:type="dxa"/>
            <w:tcBorders>
              <w:top w:val="single" w:sz="4" w:space="0" w:color="4472C4"/>
              <w:left w:val="single" w:sz="4" w:space="0" w:color="1F3864"/>
              <w:bottom w:val="single" w:sz="4" w:space="0" w:color="4472C4"/>
              <w:right w:val="single" w:sz="4" w:space="0" w:color="1F3864"/>
            </w:tcBorders>
            <w:shd w:val="clear" w:color="000000" w:fill="FFFFFF"/>
            <w:tcMar>
              <w:left w:w="108" w:type="dxa"/>
              <w:right w:w="108" w:type="dxa"/>
            </w:tcMar>
            <w:vAlign w:val="center"/>
          </w:tcPr>
          <w:p w:rsidR="00CE74FC" w:rsidRPr="00E73EC0" w:rsidRDefault="00CE74FC">
            <w:pPr>
              <w:jc w:val="both"/>
            </w:pPr>
            <w:r>
              <w:rPr>
                <w:rFonts w:ascii="Arial" w:hAnsi="Arial" w:cs="Arial"/>
              </w:rPr>
              <w:t>Χολοκυστεκτομή</w:t>
            </w:r>
          </w:p>
        </w:tc>
        <w:tc>
          <w:tcPr>
            <w:tcW w:w="3091" w:type="dxa"/>
            <w:tcBorders>
              <w:top w:val="single" w:sz="4" w:space="0" w:color="4472C4"/>
              <w:left w:val="single" w:sz="4" w:space="0" w:color="1F3864"/>
              <w:bottom w:val="single" w:sz="4" w:space="0" w:color="4472C4"/>
              <w:right w:val="single" w:sz="4" w:space="0" w:color="4472C4"/>
            </w:tcBorders>
            <w:shd w:val="clear" w:color="000000" w:fill="FFFFFF"/>
            <w:tcMar>
              <w:left w:w="108" w:type="dxa"/>
              <w:right w:w="108" w:type="dxa"/>
            </w:tcMar>
            <w:vAlign w:val="center"/>
          </w:tcPr>
          <w:p w:rsidR="00CE74FC" w:rsidRPr="00E73EC0" w:rsidRDefault="00CE74FC">
            <w:pPr>
              <w:jc w:val="center"/>
            </w:pPr>
            <w:r>
              <w:rPr>
                <w:rFonts w:ascii="Arial" w:hAnsi="Arial" w:cs="Arial"/>
              </w:rPr>
              <w:t>7%</w:t>
            </w:r>
          </w:p>
        </w:tc>
      </w:tr>
      <w:tr w:rsidR="00CE74FC" w:rsidRPr="00E73EC0">
        <w:tblPrEx>
          <w:tblCellMar>
            <w:top w:w="0" w:type="dxa"/>
            <w:bottom w:w="0" w:type="dxa"/>
          </w:tblCellMar>
        </w:tblPrEx>
        <w:trPr>
          <w:trHeight w:val="357"/>
          <w:jc w:val="center"/>
        </w:trPr>
        <w:tc>
          <w:tcPr>
            <w:tcW w:w="1349" w:type="dxa"/>
            <w:tcBorders>
              <w:top w:val="single" w:sz="4" w:space="0" w:color="4472C4"/>
              <w:left w:val="single" w:sz="4" w:space="0" w:color="4472C4"/>
              <w:bottom w:val="single" w:sz="4" w:space="0" w:color="4472C4"/>
              <w:right w:val="single" w:sz="4" w:space="0" w:color="1F3864"/>
            </w:tcBorders>
            <w:shd w:val="clear" w:color="000000" w:fill="FFFFFF"/>
            <w:tcMar>
              <w:left w:w="108" w:type="dxa"/>
              <w:right w:w="108" w:type="dxa"/>
            </w:tcMar>
            <w:vAlign w:val="center"/>
          </w:tcPr>
          <w:p w:rsidR="00CE74FC" w:rsidRPr="00E73EC0" w:rsidRDefault="00CE74FC">
            <w:pPr>
              <w:jc w:val="center"/>
            </w:pPr>
            <w:r>
              <w:rPr>
                <w:rFonts w:ascii="Arial" w:hAnsi="Arial" w:cs="Arial"/>
              </w:rPr>
              <w:t>4</w:t>
            </w:r>
          </w:p>
        </w:tc>
        <w:tc>
          <w:tcPr>
            <w:tcW w:w="3856" w:type="dxa"/>
            <w:tcBorders>
              <w:top w:val="single" w:sz="4" w:space="0" w:color="4472C4"/>
              <w:left w:val="single" w:sz="4" w:space="0" w:color="1F3864"/>
              <w:bottom w:val="single" w:sz="4" w:space="0" w:color="4472C4"/>
              <w:right w:val="single" w:sz="4" w:space="0" w:color="1F3864"/>
            </w:tcBorders>
            <w:shd w:val="clear" w:color="000000" w:fill="FFFFFF"/>
            <w:tcMar>
              <w:left w:w="108" w:type="dxa"/>
              <w:right w:w="108" w:type="dxa"/>
            </w:tcMar>
            <w:vAlign w:val="center"/>
          </w:tcPr>
          <w:p w:rsidR="00CE74FC" w:rsidRPr="00E73EC0" w:rsidRDefault="00CE74FC">
            <w:pPr>
              <w:jc w:val="both"/>
            </w:pPr>
            <w:r>
              <w:rPr>
                <w:rFonts w:ascii="Arial" w:hAnsi="Arial" w:cs="Arial"/>
              </w:rPr>
              <w:t>Επέμβαση Αφαίρεσης κρυσταλλοειδούς φακού</w:t>
            </w:r>
          </w:p>
        </w:tc>
        <w:tc>
          <w:tcPr>
            <w:tcW w:w="3091" w:type="dxa"/>
            <w:tcBorders>
              <w:top w:val="single" w:sz="4" w:space="0" w:color="4472C4"/>
              <w:left w:val="single" w:sz="4" w:space="0" w:color="1F3864"/>
              <w:bottom w:val="single" w:sz="4" w:space="0" w:color="4472C4"/>
              <w:right w:val="single" w:sz="4" w:space="0" w:color="4472C4"/>
            </w:tcBorders>
            <w:shd w:val="clear" w:color="000000" w:fill="FFFFFF"/>
            <w:tcMar>
              <w:left w:w="108" w:type="dxa"/>
              <w:right w:w="108" w:type="dxa"/>
            </w:tcMar>
            <w:vAlign w:val="center"/>
          </w:tcPr>
          <w:p w:rsidR="00CE74FC" w:rsidRPr="00E73EC0" w:rsidRDefault="00CE74FC">
            <w:pPr>
              <w:jc w:val="center"/>
            </w:pPr>
            <w:r>
              <w:rPr>
                <w:rFonts w:ascii="Arial" w:hAnsi="Arial" w:cs="Arial"/>
              </w:rPr>
              <w:t>5%</w:t>
            </w:r>
          </w:p>
        </w:tc>
      </w:tr>
      <w:tr w:rsidR="00CE74FC" w:rsidRPr="00E73EC0">
        <w:tblPrEx>
          <w:tblCellMar>
            <w:top w:w="0" w:type="dxa"/>
            <w:bottom w:w="0" w:type="dxa"/>
          </w:tblCellMar>
        </w:tblPrEx>
        <w:trPr>
          <w:trHeight w:val="357"/>
          <w:jc w:val="center"/>
        </w:trPr>
        <w:tc>
          <w:tcPr>
            <w:tcW w:w="1349" w:type="dxa"/>
            <w:tcBorders>
              <w:top w:val="single" w:sz="4" w:space="0" w:color="4472C4"/>
              <w:left w:val="single" w:sz="4" w:space="0" w:color="4472C4"/>
              <w:bottom w:val="single" w:sz="4" w:space="0" w:color="4472C4"/>
              <w:right w:val="single" w:sz="4" w:space="0" w:color="1F3864"/>
            </w:tcBorders>
            <w:shd w:val="clear" w:color="000000" w:fill="FFFFFF"/>
            <w:tcMar>
              <w:left w:w="108" w:type="dxa"/>
              <w:right w:w="108" w:type="dxa"/>
            </w:tcMar>
            <w:vAlign w:val="center"/>
          </w:tcPr>
          <w:p w:rsidR="00CE74FC" w:rsidRPr="00E73EC0" w:rsidRDefault="00CE74FC">
            <w:pPr>
              <w:jc w:val="center"/>
            </w:pPr>
            <w:r>
              <w:rPr>
                <w:rFonts w:ascii="Arial" w:hAnsi="Arial" w:cs="Arial"/>
              </w:rPr>
              <w:t>5</w:t>
            </w:r>
          </w:p>
        </w:tc>
        <w:tc>
          <w:tcPr>
            <w:tcW w:w="3856" w:type="dxa"/>
            <w:tcBorders>
              <w:top w:val="single" w:sz="4" w:space="0" w:color="4472C4"/>
              <w:left w:val="single" w:sz="4" w:space="0" w:color="1F3864"/>
              <w:bottom w:val="single" w:sz="4" w:space="0" w:color="4472C4"/>
              <w:right w:val="single" w:sz="4" w:space="0" w:color="1F3864"/>
            </w:tcBorders>
            <w:shd w:val="clear" w:color="000000" w:fill="FFFFFF"/>
            <w:tcMar>
              <w:left w:w="108" w:type="dxa"/>
              <w:right w:w="108" w:type="dxa"/>
            </w:tcMar>
            <w:vAlign w:val="center"/>
          </w:tcPr>
          <w:p w:rsidR="00CE74FC" w:rsidRPr="00E73EC0" w:rsidRDefault="00CE74FC">
            <w:pPr>
              <w:jc w:val="both"/>
            </w:pPr>
            <w:r>
              <w:rPr>
                <w:rFonts w:ascii="Arial" w:hAnsi="Arial" w:cs="Arial"/>
              </w:rPr>
              <w:t>Αρθροπλαστική Ισχίου</w:t>
            </w:r>
          </w:p>
        </w:tc>
        <w:tc>
          <w:tcPr>
            <w:tcW w:w="3091" w:type="dxa"/>
            <w:tcBorders>
              <w:top w:val="single" w:sz="4" w:space="0" w:color="4472C4"/>
              <w:left w:val="single" w:sz="4" w:space="0" w:color="1F3864"/>
              <w:bottom w:val="single" w:sz="4" w:space="0" w:color="4472C4"/>
              <w:right w:val="single" w:sz="4" w:space="0" w:color="4472C4"/>
            </w:tcBorders>
            <w:shd w:val="clear" w:color="000000" w:fill="FFFFFF"/>
            <w:tcMar>
              <w:left w:w="108" w:type="dxa"/>
              <w:right w:w="108" w:type="dxa"/>
            </w:tcMar>
            <w:vAlign w:val="center"/>
          </w:tcPr>
          <w:p w:rsidR="00CE74FC" w:rsidRPr="00E73EC0" w:rsidRDefault="00CE74FC">
            <w:pPr>
              <w:jc w:val="center"/>
            </w:pPr>
            <w:r>
              <w:rPr>
                <w:rFonts w:ascii="Arial" w:hAnsi="Arial" w:cs="Arial"/>
              </w:rPr>
              <w:t>5%</w:t>
            </w:r>
          </w:p>
        </w:tc>
      </w:tr>
      <w:tr w:rsidR="00CE74FC" w:rsidRPr="00E73EC0">
        <w:tblPrEx>
          <w:tblCellMar>
            <w:top w:w="0" w:type="dxa"/>
            <w:bottom w:w="0" w:type="dxa"/>
          </w:tblCellMar>
        </w:tblPrEx>
        <w:trPr>
          <w:trHeight w:val="357"/>
          <w:jc w:val="center"/>
        </w:trPr>
        <w:tc>
          <w:tcPr>
            <w:tcW w:w="1349" w:type="dxa"/>
            <w:tcBorders>
              <w:top w:val="single" w:sz="4" w:space="0" w:color="4472C4"/>
              <w:left w:val="single" w:sz="4" w:space="0" w:color="4472C4"/>
              <w:bottom w:val="single" w:sz="4" w:space="0" w:color="4472C4"/>
              <w:right w:val="single" w:sz="4" w:space="0" w:color="1F3864"/>
            </w:tcBorders>
            <w:shd w:val="clear" w:color="000000" w:fill="FFFFFF"/>
            <w:tcMar>
              <w:left w:w="108" w:type="dxa"/>
              <w:right w:w="108" w:type="dxa"/>
            </w:tcMar>
            <w:vAlign w:val="center"/>
          </w:tcPr>
          <w:p w:rsidR="00CE74FC" w:rsidRPr="00E73EC0" w:rsidRDefault="00CE74FC">
            <w:pPr>
              <w:jc w:val="center"/>
            </w:pPr>
            <w:r>
              <w:rPr>
                <w:rFonts w:ascii="Arial" w:hAnsi="Arial" w:cs="Arial"/>
              </w:rPr>
              <w:t>6</w:t>
            </w:r>
          </w:p>
        </w:tc>
        <w:tc>
          <w:tcPr>
            <w:tcW w:w="3856" w:type="dxa"/>
            <w:tcBorders>
              <w:top w:val="single" w:sz="4" w:space="0" w:color="4472C4"/>
              <w:left w:val="single" w:sz="4" w:space="0" w:color="1F3864"/>
              <w:bottom w:val="single" w:sz="4" w:space="0" w:color="4472C4"/>
              <w:right w:val="single" w:sz="4" w:space="0" w:color="1F3864"/>
            </w:tcBorders>
            <w:shd w:val="clear" w:color="000000" w:fill="FFFFFF"/>
            <w:tcMar>
              <w:left w:w="108" w:type="dxa"/>
              <w:right w:w="108" w:type="dxa"/>
            </w:tcMar>
            <w:vAlign w:val="center"/>
          </w:tcPr>
          <w:p w:rsidR="00CE74FC" w:rsidRPr="00E73EC0" w:rsidRDefault="00CE74FC">
            <w:pPr>
              <w:jc w:val="both"/>
            </w:pPr>
            <w:r>
              <w:rPr>
                <w:rFonts w:ascii="Arial" w:hAnsi="Arial" w:cs="Arial"/>
              </w:rPr>
              <w:t>Βουβωνοκήλη</w:t>
            </w:r>
          </w:p>
        </w:tc>
        <w:tc>
          <w:tcPr>
            <w:tcW w:w="3091" w:type="dxa"/>
            <w:tcBorders>
              <w:top w:val="single" w:sz="4" w:space="0" w:color="4472C4"/>
              <w:left w:val="single" w:sz="4" w:space="0" w:color="1F3864"/>
              <w:bottom w:val="single" w:sz="4" w:space="0" w:color="4472C4"/>
              <w:right w:val="single" w:sz="4" w:space="0" w:color="4472C4"/>
            </w:tcBorders>
            <w:shd w:val="clear" w:color="000000" w:fill="FFFFFF"/>
            <w:tcMar>
              <w:left w:w="108" w:type="dxa"/>
              <w:right w:w="108" w:type="dxa"/>
            </w:tcMar>
            <w:vAlign w:val="center"/>
          </w:tcPr>
          <w:p w:rsidR="00CE74FC" w:rsidRPr="00E73EC0" w:rsidRDefault="00CE74FC">
            <w:pPr>
              <w:jc w:val="center"/>
            </w:pPr>
            <w:r>
              <w:rPr>
                <w:rFonts w:ascii="Arial" w:hAnsi="Arial" w:cs="Arial"/>
              </w:rPr>
              <w:t>4%</w:t>
            </w:r>
          </w:p>
        </w:tc>
      </w:tr>
      <w:tr w:rsidR="00CE74FC" w:rsidRPr="00E73EC0">
        <w:tblPrEx>
          <w:tblCellMar>
            <w:top w:w="0" w:type="dxa"/>
            <w:bottom w:w="0" w:type="dxa"/>
          </w:tblCellMar>
        </w:tblPrEx>
        <w:trPr>
          <w:trHeight w:val="357"/>
          <w:jc w:val="center"/>
        </w:trPr>
        <w:tc>
          <w:tcPr>
            <w:tcW w:w="1349" w:type="dxa"/>
            <w:tcBorders>
              <w:top w:val="single" w:sz="4" w:space="0" w:color="4472C4"/>
              <w:left w:val="single" w:sz="4" w:space="0" w:color="4472C4"/>
              <w:bottom w:val="single" w:sz="4" w:space="0" w:color="4472C4"/>
              <w:right w:val="single" w:sz="4" w:space="0" w:color="1F3864"/>
            </w:tcBorders>
            <w:shd w:val="clear" w:color="000000" w:fill="FFFFFF"/>
            <w:tcMar>
              <w:left w:w="108" w:type="dxa"/>
              <w:right w:w="108" w:type="dxa"/>
            </w:tcMar>
            <w:vAlign w:val="center"/>
          </w:tcPr>
          <w:p w:rsidR="00CE74FC" w:rsidRPr="00E73EC0" w:rsidRDefault="00CE74FC">
            <w:pPr>
              <w:jc w:val="center"/>
            </w:pPr>
            <w:r>
              <w:rPr>
                <w:rFonts w:ascii="Arial" w:hAnsi="Arial" w:cs="Arial"/>
              </w:rPr>
              <w:t>7</w:t>
            </w:r>
          </w:p>
        </w:tc>
        <w:tc>
          <w:tcPr>
            <w:tcW w:w="3856" w:type="dxa"/>
            <w:tcBorders>
              <w:top w:val="single" w:sz="4" w:space="0" w:color="4472C4"/>
              <w:left w:val="single" w:sz="4" w:space="0" w:color="1F3864"/>
              <w:bottom w:val="single" w:sz="4" w:space="0" w:color="4472C4"/>
              <w:right w:val="single" w:sz="4" w:space="0" w:color="1F3864"/>
            </w:tcBorders>
            <w:shd w:val="clear" w:color="000000" w:fill="FFFFFF"/>
            <w:tcMar>
              <w:left w:w="108" w:type="dxa"/>
              <w:right w:w="108" w:type="dxa"/>
            </w:tcMar>
            <w:vAlign w:val="center"/>
          </w:tcPr>
          <w:p w:rsidR="00CE74FC" w:rsidRPr="00E73EC0" w:rsidRDefault="00CE74FC">
            <w:pPr>
              <w:jc w:val="both"/>
            </w:pPr>
            <w:r>
              <w:rPr>
                <w:rFonts w:ascii="Arial" w:hAnsi="Arial" w:cs="Arial"/>
              </w:rPr>
              <w:t>Αμυγδαλεκτομή</w:t>
            </w:r>
          </w:p>
        </w:tc>
        <w:tc>
          <w:tcPr>
            <w:tcW w:w="3091" w:type="dxa"/>
            <w:tcBorders>
              <w:top w:val="single" w:sz="4" w:space="0" w:color="4472C4"/>
              <w:left w:val="single" w:sz="4" w:space="0" w:color="1F3864"/>
              <w:bottom w:val="single" w:sz="4" w:space="0" w:color="4472C4"/>
              <w:right w:val="single" w:sz="4" w:space="0" w:color="4472C4"/>
            </w:tcBorders>
            <w:shd w:val="clear" w:color="000000" w:fill="FFFFFF"/>
            <w:tcMar>
              <w:left w:w="108" w:type="dxa"/>
              <w:right w:w="108" w:type="dxa"/>
            </w:tcMar>
            <w:vAlign w:val="center"/>
          </w:tcPr>
          <w:p w:rsidR="00CE74FC" w:rsidRPr="00E73EC0" w:rsidRDefault="00CE74FC">
            <w:pPr>
              <w:jc w:val="center"/>
            </w:pPr>
            <w:r>
              <w:rPr>
                <w:rFonts w:ascii="Arial" w:hAnsi="Arial" w:cs="Arial"/>
              </w:rPr>
              <w:t>3%</w:t>
            </w:r>
          </w:p>
        </w:tc>
      </w:tr>
    </w:tbl>
    <w:p w:rsidR="00CE74FC" w:rsidRDefault="00CE74FC">
      <w:pPr>
        <w:spacing w:after="160" w:line="259" w:lineRule="auto"/>
        <w:jc w:val="both"/>
        <w:rPr>
          <w:rFonts w:ascii="Arial" w:hAnsi="Arial" w:cs="Arial"/>
          <w:color w:val="002060"/>
          <w:sz w:val="24"/>
        </w:rPr>
      </w:pPr>
    </w:p>
    <w:p w:rsidR="00CE74FC" w:rsidRDefault="00CE74FC">
      <w:pPr>
        <w:keepNext/>
        <w:keepLines/>
        <w:spacing w:before="240" w:line="360" w:lineRule="auto"/>
        <w:jc w:val="both"/>
        <w:rPr>
          <w:rFonts w:ascii="Arial" w:hAnsi="Arial" w:cs="Arial"/>
          <w:color w:val="002060"/>
          <w:sz w:val="24"/>
        </w:rPr>
      </w:pPr>
      <w:r>
        <w:rPr>
          <w:rFonts w:ascii="Arial" w:hAnsi="Arial" w:cs="Arial"/>
          <w:color w:val="002060"/>
          <w:sz w:val="24"/>
        </w:rPr>
        <w:t>Ποιο θα είναι το πλαίσιο λειτουργίας των απογευματινών χειρουργείων;</w:t>
      </w:r>
    </w:p>
    <w:p w:rsidR="00CE74FC" w:rsidRDefault="00CE74FC">
      <w:pPr>
        <w:spacing w:after="160" w:line="259" w:lineRule="auto"/>
        <w:jc w:val="both"/>
        <w:rPr>
          <w:rFonts w:ascii="Arial" w:hAnsi="Arial" w:cs="Arial"/>
        </w:rPr>
      </w:pPr>
      <w:r>
        <w:rPr>
          <w:rFonts w:ascii="Arial" w:hAnsi="Arial" w:cs="Arial"/>
        </w:rPr>
        <w:t>Για την λειτουργία των απογευματινών χειρουργείων έχει δημιουργηθεί η κατηγοριοποίηση των χειρουργικών επεμβάσεων, με βάση ιατρικά κριτήρια. Οι συγκεκριμένες κατηγορίες επεμβάσεων αντιστοιχούν και στα αντίστοιχα κόστη που θα προκύψουν από τη διενέργεια των συγκεκριμένων επεμβάσεων.</w:t>
      </w:r>
    </w:p>
    <w:p w:rsidR="00CE74FC" w:rsidRDefault="00CE74FC">
      <w:pPr>
        <w:spacing w:after="160" w:line="259" w:lineRule="auto"/>
        <w:jc w:val="both"/>
        <w:rPr>
          <w:rFonts w:ascii="Arial" w:hAnsi="Arial" w:cs="Arial"/>
        </w:rPr>
      </w:pPr>
      <w:r>
        <w:rPr>
          <w:rFonts w:ascii="Arial" w:hAnsi="Arial" w:cs="Arial"/>
        </w:rPr>
        <w:t>Κόστη που όπως αναφέρθηκε, θα καλυφθούν από τη χρηματοδότηση του Ταμείου Ανάκαμψης και Ανθεκτικότητας.</w:t>
      </w:r>
    </w:p>
    <w:p w:rsidR="00CE74FC" w:rsidRDefault="00CE74FC">
      <w:pPr>
        <w:spacing w:after="160" w:line="259" w:lineRule="auto"/>
        <w:jc w:val="both"/>
        <w:rPr>
          <w:rFonts w:ascii="Arial" w:hAnsi="Arial" w:cs="Arial"/>
          <w:color w:val="002060"/>
          <w:sz w:val="24"/>
        </w:rPr>
      </w:pPr>
      <w:r>
        <w:rPr>
          <w:rFonts w:ascii="Arial" w:hAnsi="Arial" w:cs="Arial"/>
        </w:rPr>
        <w:t>Αναλυτικότερα, οι κατηγορίες επεμβάσεων και το κόστος παρουσιάζονται στον παρακάτω πίνακα:</w:t>
      </w:r>
    </w:p>
    <w:tbl>
      <w:tblPr>
        <w:tblW w:w="0" w:type="auto"/>
        <w:tblInd w:w="-8" w:type="dxa"/>
        <w:tblCellMar>
          <w:left w:w="10" w:type="dxa"/>
          <w:right w:w="10" w:type="dxa"/>
        </w:tblCellMar>
        <w:tblLook w:val="0000"/>
      </w:tblPr>
      <w:tblGrid>
        <w:gridCol w:w="4444"/>
        <w:gridCol w:w="4086"/>
      </w:tblGrid>
      <w:tr w:rsidR="00CE74FC" w:rsidRPr="00E73EC0">
        <w:tblPrEx>
          <w:tblCellMar>
            <w:top w:w="0" w:type="dxa"/>
            <w:bottom w:w="0" w:type="dxa"/>
          </w:tblCellMar>
        </w:tblPrEx>
        <w:trPr>
          <w:trHeight w:val="532"/>
        </w:trPr>
        <w:tc>
          <w:tcPr>
            <w:tcW w:w="5361" w:type="dxa"/>
            <w:tcBorders>
              <w:top w:val="single" w:sz="8" w:space="0" w:color="000000"/>
              <w:left w:val="single" w:sz="8" w:space="0" w:color="000000"/>
              <w:bottom w:val="single" w:sz="8" w:space="0" w:color="000000"/>
              <w:right w:val="single" w:sz="8" w:space="0" w:color="000000"/>
            </w:tcBorders>
            <w:shd w:val="clear" w:color="auto" w:fill="002060"/>
            <w:tcMar>
              <w:left w:w="108" w:type="dxa"/>
              <w:right w:w="108" w:type="dxa"/>
            </w:tcMar>
            <w:vAlign w:val="center"/>
          </w:tcPr>
          <w:p w:rsidR="00CE74FC" w:rsidRPr="00E73EC0" w:rsidRDefault="00CE74FC">
            <w:pPr>
              <w:spacing w:after="160" w:line="256" w:lineRule="auto"/>
              <w:jc w:val="center"/>
            </w:pPr>
            <w:r>
              <w:rPr>
                <w:rFonts w:ascii="Arial" w:hAnsi="Arial" w:cs="Arial"/>
                <w:b/>
                <w:color w:val="FFFFFF"/>
              </w:rPr>
              <w:t>ΚΑΤΗΓΟΡΙΕΣ ΧΕΙΡΟΥΡΓΙΚΩΝ ΕΠΕΜΒΑΣΕΩΝ</w:t>
            </w:r>
          </w:p>
        </w:tc>
        <w:tc>
          <w:tcPr>
            <w:tcW w:w="5007" w:type="dxa"/>
            <w:tcBorders>
              <w:top w:val="single" w:sz="8" w:space="0" w:color="000000"/>
              <w:left w:val="single" w:sz="8" w:space="0" w:color="000000"/>
              <w:bottom w:val="single" w:sz="8" w:space="0" w:color="000000"/>
              <w:right w:val="single" w:sz="8" w:space="0" w:color="000000"/>
            </w:tcBorders>
            <w:shd w:val="clear" w:color="auto" w:fill="002060"/>
            <w:tcMar>
              <w:left w:w="108" w:type="dxa"/>
              <w:right w:w="108" w:type="dxa"/>
            </w:tcMar>
            <w:vAlign w:val="center"/>
          </w:tcPr>
          <w:p w:rsidR="00CE74FC" w:rsidRDefault="00CE74FC">
            <w:pPr>
              <w:jc w:val="center"/>
              <w:rPr>
                <w:rFonts w:ascii="Arial" w:hAnsi="Arial" w:cs="Arial"/>
              </w:rPr>
            </w:pPr>
            <w:r>
              <w:rPr>
                <w:rFonts w:ascii="Arial" w:hAnsi="Arial" w:cs="Arial"/>
                <w:b/>
                <w:color w:val="FFFFFF"/>
              </w:rPr>
              <w:t>ΣΥΝΟΛΙΚΟ ΠΟΣΟ ΠΟΥ</w:t>
            </w:r>
          </w:p>
          <w:p w:rsidR="00CE74FC" w:rsidRPr="00E73EC0" w:rsidRDefault="00CE74FC">
            <w:pPr>
              <w:jc w:val="center"/>
            </w:pPr>
            <w:r>
              <w:rPr>
                <w:rFonts w:ascii="Arial" w:hAnsi="Arial" w:cs="Arial"/>
                <w:b/>
                <w:color w:val="FFFFFF"/>
              </w:rPr>
              <w:t>ΘΑ ΚΑΤΑΒΑΛΕΙ Ο ΑΣΘΕΝΗΣ</w:t>
            </w:r>
          </w:p>
        </w:tc>
      </w:tr>
      <w:tr w:rsidR="00CE74FC" w:rsidRPr="00E73EC0">
        <w:tblPrEx>
          <w:tblCellMar>
            <w:top w:w="0" w:type="dxa"/>
            <w:bottom w:w="0" w:type="dxa"/>
          </w:tblCellMar>
        </w:tblPrEx>
        <w:trPr>
          <w:trHeight w:val="521"/>
        </w:trPr>
        <w:tc>
          <w:tcPr>
            <w:tcW w:w="5361"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CE74FC" w:rsidRPr="00E73EC0" w:rsidRDefault="00CE74FC">
            <w:pPr>
              <w:spacing w:after="160" w:line="256" w:lineRule="auto"/>
              <w:jc w:val="center"/>
            </w:pPr>
            <w:r>
              <w:rPr>
                <w:rFonts w:ascii="Arial" w:hAnsi="Arial" w:cs="Arial"/>
                <w:color w:val="000000"/>
              </w:rPr>
              <w:t>ΠΟΛΥ ΜΙΚΡΗ</w:t>
            </w:r>
          </w:p>
        </w:tc>
        <w:tc>
          <w:tcPr>
            <w:tcW w:w="5007"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CE74FC" w:rsidRPr="00E73EC0" w:rsidRDefault="00CE74FC">
            <w:pPr>
              <w:spacing w:after="160" w:line="256" w:lineRule="auto"/>
              <w:jc w:val="center"/>
            </w:pPr>
            <w:r>
              <w:rPr>
                <w:rFonts w:ascii="Arial" w:hAnsi="Arial" w:cs="Arial"/>
                <w:color w:val="000000"/>
              </w:rPr>
              <w:t>300 €</w:t>
            </w:r>
          </w:p>
        </w:tc>
      </w:tr>
      <w:tr w:rsidR="00CE74FC" w:rsidRPr="00E73EC0">
        <w:tblPrEx>
          <w:tblCellMar>
            <w:top w:w="0" w:type="dxa"/>
            <w:bottom w:w="0" w:type="dxa"/>
          </w:tblCellMar>
        </w:tblPrEx>
        <w:trPr>
          <w:trHeight w:val="521"/>
        </w:trPr>
        <w:tc>
          <w:tcPr>
            <w:tcW w:w="5361"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CE74FC" w:rsidRPr="00E73EC0" w:rsidRDefault="00CE74FC">
            <w:pPr>
              <w:spacing w:after="160" w:line="256" w:lineRule="auto"/>
              <w:jc w:val="center"/>
            </w:pPr>
            <w:r>
              <w:rPr>
                <w:rFonts w:ascii="Arial" w:hAnsi="Arial" w:cs="Arial"/>
                <w:color w:val="000000"/>
              </w:rPr>
              <w:t>ΜΙΚΡΗ</w:t>
            </w:r>
          </w:p>
        </w:tc>
        <w:tc>
          <w:tcPr>
            <w:tcW w:w="5007"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CE74FC" w:rsidRPr="00E73EC0" w:rsidRDefault="00CE74FC">
            <w:pPr>
              <w:spacing w:after="160" w:line="256" w:lineRule="auto"/>
              <w:jc w:val="center"/>
            </w:pPr>
            <w:r>
              <w:rPr>
                <w:rFonts w:ascii="Arial" w:hAnsi="Arial" w:cs="Arial"/>
                <w:color w:val="000000"/>
              </w:rPr>
              <w:t>500 €</w:t>
            </w:r>
          </w:p>
        </w:tc>
      </w:tr>
      <w:tr w:rsidR="00CE74FC" w:rsidRPr="00E73EC0">
        <w:tblPrEx>
          <w:tblCellMar>
            <w:top w:w="0" w:type="dxa"/>
            <w:bottom w:w="0" w:type="dxa"/>
          </w:tblCellMar>
        </w:tblPrEx>
        <w:trPr>
          <w:trHeight w:val="521"/>
        </w:trPr>
        <w:tc>
          <w:tcPr>
            <w:tcW w:w="5361"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CE74FC" w:rsidRPr="00E73EC0" w:rsidRDefault="00CE74FC">
            <w:pPr>
              <w:spacing w:after="160" w:line="256" w:lineRule="auto"/>
              <w:jc w:val="center"/>
            </w:pPr>
            <w:r>
              <w:rPr>
                <w:rFonts w:ascii="Arial" w:hAnsi="Arial" w:cs="Arial"/>
                <w:color w:val="000000"/>
              </w:rPr>
              <w:t>ΜΕΣΑΙΑ</w:t>
            </w:r>
          </w:p>
        </w:tc>
        <w:tc>
          <w:tcPr>
            <w:tcW w:w="5007"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CE74FC" w:rsidRPr="00E73EC0" w:rsidRDefault="00CE74FC">
            <w:pPr>
              <w:spacing w:after="160" w:line="256" w:lineRule="auto"/>
              <w:jc w:val="center"/>
            </w:pPr>
            <w:r>
              <w:rPr>
                <w:rFonts w:ascii="Arial" w:hAnsi="Arial" w:cs="Arial"/>
                <w:color w:val="000000"/>
              </w:rPr>
              <w:t>900 €</w:t>
            </w:r>
          </w:p>
        </w:tc>
      </w:tr>
      <w:tr w:rsidR="00CE74FC" w:rsidRPr="00E73EC0">
        <w:tblPrEx>
          <w:tblCellMar>
            <w:top w:w="0" w:type="dxa"/>
            <w:bottom w:w="0" w:type="dxa"/>
          </w:tblCellMar>
        </w:tblPrEx>
        <w:trPr>
          <w:trHeight w:val="521"/>
        </w:trPr>
        <w:tc>
          <w:tcPr>
            <w:tcW w:w="5361"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CE74FC" w:rsidRPr="00E73EC0" w:rsidRDefault="00CE74FC">
            <w:pPr>
              <w:spacing w:after="160" w:line="256" w:lineRule="auto"/>
              <w:jc w:val="center"/>
            </w:pPr>
            <w:r>
              <w:rPr>
                <w:rFonts w:ascii="Arial" w:hAnsi="Arial" w:cs="Arial"/>
                <w:color w:val="000000"/>
              </w:rPr>
              <w:t>ΜΕΓΑΛΗ</w:t>
            </w:r>
          </w:p>
        </w:tc>
        <w:tc>
          <w:tcPr>
            <w:tcW w:w="5007"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CE74FC" w:rsidRPr="00E73EC0" w:rsidRDefault="00CE74FC">
            <w:pPr>
              <w:spacing w:after="160" w:line="256" w:lineRule="auto"/>
              <w:jc w:val="center"/>
            </w:pPr>
            <w:r>
              <w:rPr>
                <w:rFonts w:ascii="Arial" w:hAnsi="Arial" w:cs="Arial"/>
                <w:color w:val="000000"/>
              </w:rPr>
              <w:t>1.200 €</w:t>
            </w:r>
          </w:p>
        </w:tc>
      </w:tr>
      <w:tr w:rsidR="00CE74FC" w:rsidRPr="00E73EC0">
        <w:tblPrEx>
          <w:tblCellMar>
            <w:top w:w="0" w:type="dxa"/>
            <w:bottom w:w="0" w:type="dxa"/>
          </w:tblCellMar>
        </w:tblPrEx>
        <w:trPr>
          <w:trHeight w:val="521"/>
        </w:trPr>
        <w:tc>
          <w:tcPr>
            <w:tcW w:w="5361"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CE74FC" w:rsidRPr="00E73EC0" w:rsidRDefault="00CE74FC">
            <w:pPr>
              <w:spacing w:after="160" w:line="256" w:lineRule="auto"/>
              <w:jc w:val="center"/>
            </w:pPr>
            <w:r>
              <w:rPr>
                <w:rFonts w:ascii="Arial" w:hAnsi="Arial" w:cs="Arial"/>
                <w:color w:val="000000"/>
              </w:rPr>
              <w:t>ΒΑΡΕΙΑ</w:t>
            </w:r>
          </w:p>
        </w:tc>
        <w:tc>
          <w:tcPr>
            <w:tcW w:w="5007"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CE74FC" w:rsidRPr="00E73EC0" w:rsidRDefault="00CE74FC">
            <w:pPr>
              <w:spacing w:after="160" w:line="256" w:lineRule="auto"/>
              <w:jc w:val="center"/>
            </w:pPr>
            <w:r>
              <w:rPr>
                <w:rFonts w:ascii="Arial" w:hAnsi="Arial" w:cs="Arial"/>
                <w:color w:val="000000"/>
              </w:rPr>
              <w:t>1.600 €</w:t>
            </w:r>
          </w:p>
        </w:tc>
      </w:tr>
      <w:tr w:rsidR="00CE74FC" w:rsidRPr="00E73EC0">
        <w:tblPrEx>
          <w:tblCellMar>
            <w:top w:w="0" w:type="dxa"/>
            <w:bottom w:w="0" w:type="dxa"/>
          </w:tblCellMar>
        </w:tblPrEx>
        <w:trPr>
          <w:trHeight w:val="521"/>
        </w:trPr>
        <w:tc>
          <w:tcPr>
            <w:tcW w:w="5361"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CE74FC" w:rsidRPr="00E73EC0" w:rsidRDefault="00CE74FC">
            <w:pPr>
              <w:spacing w:after="160" w:line="256" w:lineRule="auto"/>
              <w:jc w:val="center"/>
            </w:pPr>
            <w:r>
              <w:rPr>
                <w:rFonts w:ascii="Arial" w:hAnsi="Arial" w:cs="Arial"/>
                <w:color w:val="000000"/>
              </w:rPr>
              <w:t>ΕΞΑΙΡΕΤΙΚΑ ΒΑΡΕΙΑ</w:t>
            </w:r>
          </w:p>
        </w:tc>
        <w:tc>
          <w:tcPr>
            <w:tcW w:w="5007"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CE74FC" w:rsidRPr="00E73EC0" w:rsidRDefault="00CE74FC">
            <w:pPr>
              <w:spacing w:after="160" w:line="256" w:lineRule="auto"/>
              <w:jc w:val="center"/>
            </w:pPr>
            <w:r>
              <w:rPr>
                <w:rFonts w:ascii="Arial" w:hAnsi="Arial" w:cs="Arial"/>
                <w:color w:val="000000"/>
              </w:rPr>
              <w:t>2.000 €</w:t>
            </w:r>
          </w:p>
        </w:tc>
      </w:tr>
    </w:tbl>
    <w:p w:rsidR="00CE74FC" w:rsidRDefault="00CE74FC">
      <w:pPr>
        <w:keepNext/>
        <w:keepLines/>
        <w:spacing w:before="240" w:line="360" w:lineRule="auto"/>
        <w:jc w:val="both"/>
        <w:rPr>
          <w:rFonts w:ascii="Arial" w:hAnsi="Arial" w:cs="Arial"/>
          <w:color w:val="002060"/>
          <w:sz w:val="24"/>
        </w:rPr>
      </w:pPr>
    </w:p>
    <w:p w:rsidR="00CE74FC" w:rsidRDefault="00CE74FC">
      <w:pPr>
        <w:keepNext/>
        <w:keepLines/>
        <w:spacing w:before="240" w:line="360" w:lineRule="auto"/>
        <w:jc w:val="both"/>
        <w:rPr>
          <w:rFonts w:ascii="Arial" w:hAnsi="Arial" w:cs="Arial"/>
          <w:color w:val="002060"/>
          <w:sz w:val="24"/>
        </w:rPr>
      </w:pPr>
      <w:r>
        <w:rPr>
          <w:rFonts w:ascii="Arial" w:hAnsi="Arial" w:cs="Arial"/>
          <w:color w:val="002060"/>
          <w:sz w:val="24"/>
        </w:rPr>
        <w:t>Τα απογευματινά χειρουργεία θα κοστίζουν λιγότερο ή περισσότερο από τα αντίστοιχα χειρουργεία στον Ιδιωτικό Τομέα;</w:t>
      </w:r>
    </w:p>
    <w:p w:rsidR="00CE74FC" w:rsidRDefault="00CE74FC">
      <w:pPr>
        <w:spacing w:after="160" w:line="259" w:lineRule="auto"/>
        <w:jc w:val="both"/>
        <w:rPr>
          <w:rFonts w:ascii="Arial" w:hAnsi="Arial" w:cs="Arial"/>
        </w:rPr>
      </w:pPr>
      <w:r>
        <w:rPr>
          <w:rFonts w:ascii="Arial" w:hAnsi="Arial" w:cs="Arial"/>
        </w:rPr>
        <w:t>Με βάση τη σύγκριση των τιμών ανάμεσα σε είδη επεμβάσεων που θα διενεργούνται κατά τα απογευματινά χειρουργεία με τα αντίστοιχα είδη επεμβάσεων στα Ιδιωτικά Νοσοκομεία, παρατηρείται σημαντική διαφορά ανάμεσα στο κόστος των επεμβάσεων.</w:t>
      </w:r>
    </w:p>
    <w:p w:rsidR="00CE74FC" w:rsidRDefault="00CE74FC">
      <w:pPr>
        <w:spacing w:after="160" w:line="259" w:lineRule="auto"/>
        <w:jc w:val="both"/>
        <w:rPr>
          <w:rFonts w:ascii="Arial" w:hAnsi="Arial" w:cs="Arial"/>
        </w:rPr>
      </w:pPr>
      <w:r>
        <w:rPr>
          <w:rFonts w:ascii="Arial" w:hAnsi="Arial" w:cs="Arial"/>
        </w:rPr>
        <w:t>Αναλυτικότερα, παρέχεται συγκριτικός πίνακας παρακάτω:</w:t>
      </w:r>
    </w:p>
    <w:tbl>
      <w:tblPr>
        <w:tblW w:w="0" w:type="auto"/>
        <w:tblInd w:w="-8" w:type="dxa"/>
        <w:tblCellMar>
          <w:left w:w="10" w:type="dxa"/>
          <w:right w:w="10" w:type="dxa"/>
        </w:tblCellMar>
        <w:tblLook w:val="0000"/>
      </w:tblPr>
      <w:tblGrid>
        <w:gridCol w:w="2479"/>
        <w:gridCol w:w="2076"/>
        <w:gridCol w:w="2289"/>
        <w:gridCol w:w="1686"/>
      </w:tblGrid>
      <w:tr w:rsidR="00CE74FC" w:rsidRPr="00E73EC0">
        <w:tblPrEx>
          <w:tblCellMar>
            <w:top w:w="0" w:type="dxa"/>
            <w:bottom w:w="0" w:type="dxa"/>
          </w:tblCellMar>
        </w:tblPrEx>
        <w:trPr>
          <w:trHeight w:val="1291"/>
        </w:trPr>
        <w:tc>
          <w:tcPr>
            <w:tcW w:w="2799" w:type="dxa"/>
            <w:tcBorders>
              <w:top w:val="single" w:sz="8" w:space="0" w:color="000000"/>
              <w:left w:val="single" w:sz="8" w:space="0" w:color="000000"/>
              <w:bottom w:val="single" w:sz="8" w:space="0" w:color="000000"/>
              <w:right w:val="single" w:sz="8" w:space="0" w:color="000000"/>
            </w:tcBorders>
            <w:shd w:val="clear" w:color="auto" w:fill="002060"/>
            <w:tcMar>
              <w:left w:w="108" w:type="dxa"/>
              <w:right w:w="108" w:type="dxa"/>
            </w:tcMar>
            <w:vAlign w:val="center"/>
          </w:tcPr>
          <w:p w:rsidR="00CE74FC" w:rsidRPr="00E73EC0" w:rsidRDefault="00CE74FC">
            <w:pPr>
              <w:spacing w:after="160" w:line="259" w:lineRule="auto"/>
              <w:jc w:val="both"/>
            </w:pPr>
            <w:r>
              <w:rPr>
                <w:rFonts w:ascii="Arial" w:hAnsi="Arial" w:cs="Arial"/>
                <w:b/>
              </w:rPr>
              <w:t xml:space="preserve">ΕΙΔΟΣ ΕΠΕΜΒΑΣΗΣ </w:t>
            </w:r>
          </w:p>
        </w:tc>
        <w:tc>
          <w:tcPr>
            <w:tcW w:w="2618" w:type="dxa"/>
            <w:tcBorders>
              <w:top w:val="single" w:sz="8" w:space="0" w:color="000000"/>
              <w:left w:val="single" w:sz="8" w:space="0" w:color="000000"/>
              <w:bottom w:val="single" w:sz="8" w:space="0" w:color="000000"/>
              <w:right w:val="single" w:sz="8" w:space="0" w:color="000000"/>
            </w:tcBorders>
            <w:shd w:val="clear" w:color="auto" w:fill="002060"/>
            <w:tcMar>
              <w:left w:w="108" w:type="dxa"/>
              <w:right w:w="108" w:type="dxa"/>
            </w:tcMar>
            <w:vAlign w:val="center"/>
          </w:tcPr>
          <w:p w:rsidR="00CE74FC" w:rsidRPr="00E73EC0" w:rsidRDefault="00CE74FC">
            <w:pPr>
              <w:spacing w:after="160" w:line="259" w:lineRule="auto"/>
              <w:jc w:val="center"/>
            </w:pPr>
            <w:r>
              <w:rPr>
                <w:rFonts w:ascii="Arial" w:hAnsi="Arial" w:cs="Arial"/>
                <w:b/>
              </w:rPr>
              <w:t>ΚΑΤΗΓΟΡΙΕΣ ΧΕΙΡΟΥΡΓΙΚΩΝ ΕΠΕΜΒΑΣΕΩΝ</w:t>
            </w:r>
          </w:p>
        </w:tc>
        <w:tc>
          <w:tcPr>
            <w:tcW w:w="2619" w:type="dxa"/>
            <w:tcBorders>
              <w:top w:val="single" w:sz="8" w:space="0" w:color="000000"/>
              <w:left w:val="single" w:sz="8" w:space="0" w:color="000000"/>
              <w:bottom w:val="single" w:sz="8" w:space="0" w:color="000000"/>
              <w:right w:val="single" w:sz="8" w:space="0" w:color="000000"/>
            </w:tcBorders>
            <w:shd w:val="clear" w:color="auto" w:fill="002060"/>
            <w:tcMar>
              <w:left w:w="108" w:type="dxa"/>
              <w:right w:w="108" w:type="dxa"/>
            </w:tcMar>
            <w:vAlign w:val="center"/>
          </w:tcPr>
          <w:p w:rsidR="00CE74FC" w:rsidRPr="00E73EC0" w:rsidRDefault="00CE74FC">
            <w:pPr>
              <w:spacing w:after="160" w:line="259" w:lineRule="auto"/>
              <w:jc w:val="center"/>
            </w:pPr>
            <w:r>
              <w:rPr>
                <w:rFonts w:ascii="Arial" w:hAnsi="Arial" w:cs="Arial"/>
                <w:b/>
              </w:rPr>
              <w:t>ΚΟΣΤΟΣ ΑΠΟΓΕΥΜΑΤΙΝΩΝ ΧΕΙΡΟΥΡΓΕΙΩΝ</w:t>
            </w:r>
          </w:p>
        </w:tc>
        <w:tc>
          <w:tcPr>
            <w:tcW w:w="2617" w:type="dxa"/>
            <w:tcBorders>
              <w:top w:val="single" w:sz="8" w:space="0" w:color="000000"/>
              <w:left w:val="single" w:sz="8" w:space="0" w:color="000000"/>
              <w:bottom w:val="single" w:sz="8" w:space="0" w:color="000000"/>
              <w:right w:val="single" w:sz="8" w:space="0" w:color="000000"/>
            </w:tcBorders>
            <w:shd w:val="clear" w:color="auto" w:fill="002060"/>
            <w:tcMar>
              <w:left w:w="108" w:type="dxa"/>
              <w:right w:w="108" w:type="dxa"/>
            </w:tcMar>
            <w:vAlign w:val="center"/>
          </w:tcPr>
          <w:p w:rsidR="00CE74FC" w:rsidRPr="00E73EC0" w:rsidRDefault="00CE74FC">
            <w:pPr>
              <w:spacing w:after="160" w:line="259" w:lineRule="auto"/>
              <w:jc w:val="center"/>
            </w:pPr>
            <w:r>
              <w:rPr>
                <w:rFonts w:ascii="Arial" w:hAnsi="Arial" w:cs="Arial"/>
                <w:b/>
              </w:rPr>
              <w:t>ΙΔΙΩΤΙΚΟΣ ΤΟΜΕΑΣ</w:t>
            </w:r>
          </w:p>
        </w:tc>
      </w:tr>
      <w:tr w:rsidR="00CE74FC" w:rsidRPr="00E73EC0">
        <w:tblPrEx>
          <w:tblCellMar>
            <w:top w:w="0" w:type="dxa"/>
            <w:bottom w:w="0" w:type="dxa"/>
          </w:tblCellMar>
        </w:tblPrEx>
        <w:trPr>
          <w:trHeight w:val="1065"/>
        </w:trPr>
        <w:tc>
          <w:tcPr>
            <w:tcW w:w="2799"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CE74FC" w:rsidRPr="00E73EC0" w:rsidRDefault="00CE74FC">
            <w:pPr>
              <w:spacing w:after="160" w:line="259" w:lineRule="auto"/>
              <w:jc w:val="both"/>
            </w:pPr>
            <w:r>
              <w:rPr>
                <w:rFonts w:ascii="Arial" w:hAnsi="Arial" w:cs="Arial"/>
              </w:rPr>
              <w:t>ΚΑΤΑΡΡΑΚΤΗΣ</w:t>
            </w:r>
          </w:p>
        </w:tc>
        <w:tc>
          <w:tcPr>
            <w:tcW w:w="2618"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CE74FC" w:rsidRPr="00E73EC0" w:rsidRDefault="00CE74FC">
            <w:pPr>
              <w:spacing w:after="160" w:line="259" w:lineRule="auto"/>
              <w:jc w:val="center"/>
            </w:pPr>
            <w:r>
              <w:rPr>
                <w:rFonts w:ascii="Arial" w:hAnsi="Arial" w:cs="Arial"/>
              </w:rPr>
              <w:t>Πολύ Μικρή ή Μικρή</w:t>
            </w:r>
          </w:p>
        </w:tc>
        <w:tc>
          <w:tcPr>
            <w:tcW w:w="2619"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CE74FC" w:rsidRPr="00E73EC0" w:rsidRDefault="00CE74FC">
            <w:pPr>
              <w:spacing w:after="160" w:line="259" w:lineRule="auto"/>
              <w:jc w:val="center"/>
            </w:pPr>
            <w:r>
              <w:rPr>
                <w:rFonts w:ascii="Arial" w:hAnsi="Arial" w:cs="Arial"/>
              </w:rPr>
              <w:t>300€ - 500€</w:t>
            </w:r>
          </w:p>
        </w:tc>
        <w:tc>
          <w:tcPr>
            <w:tcW w:w="2617"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CE74FC" w:rsidRPr="00E73EC0" w:rsidRDefault="00CE74FC">
            <w:pPr>
              <w:spacing w:after="160" w:line="259" w:lineRule="auto"/>
              <w:jc w:val="center"/>
            </w:pPr>
            <w:r>
              <w:rPr>
                <w:rFonts w:ascii="Arial" w:hAnsi="Arial" w:cs="Arial"/>
              </w:rPr>
              <w:t>&gt; 800 €</w:t>
            </w:r>
          </w:p>
        </w:tc>
      </w:tr>
      <w:tr w:rsidR="00CE74FC" w:rsidRPr="00E73EC0">
        <w:tblPrEx>
          <w:tblCellMar>
            <w:top w:w="0" w:type="dxa"/>
            <w:bottom w:w="0" w:type="dxa"/>
          </w:tblCellMar>
        </w:tblPrEx>
        <w:trPr>
          <w:trHeight w:val="1065"/>
        </w:trPr>
        <w:tc>
          <w:tcPr>
            <w:tcW w:w="2799"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CE74FC" w:rsidRPr="00E73EC0" w:rsidRDefault="00CE74FC">
            <w:pPr>
              <w:spacing w:after="160" w:line="259" w:lineRule="auto"/>
              <w:jc w:val="both"/>
            </w:pPr>
            <w:r>
              <w:rPr>
                <w:rFonts w:ascii="Arial" w:hAnsi="Arial" w:cs="Arial"/>
              </w:rPr>
              <w:t>ΒΟΥΒΩΝΟΚΗΛΗ</w:t>
            </w:r>
          </w:p>
        </w:tc>
        <w:tc>
          <w:tcPr>
            <w:tcW w:w="2618"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CE74FC" w:rsidRPr="00E73EC0" w:rsidRDefault="00CE74FC">
            <w:pPr>
              <w:spacing w:after="160" w:line="259" w:lineRule="auto"/>
              <w:jc w:val="center"/>
            </w:pPr>
            <w:r>
              <w:rPr>
                <w:rFonts w:ascii="Arial" w:hAnsi="Arial" w:cs="Arial"/>
              </w:rPr>
              <w:t>Μικρή</w:t>
            </w:r>
          </w:p>
        </w:tc>
        <w:tc>
          <w:tcPr>
            <w:tcW w:w="2619"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CE74FC" w:rsidRPr="00E73EC0" w:rsidRDefault="00CE74FC">
            <w:pPr>
              <w:spacing w:after="160" w:line="259" w:lineRule="auto"/>
              <w:jc w:val="center"/>
            </w:pPr>
            <w:r>
              <w:rPr>
                <w:rFonts w:ascii="Arial" w:hAnsi="Arial" w:cs="Arial"/>
              </w:rPr>
              <w:t>500€</w:t>
            </w:r>
          </w:p>
        </w:tc>
        <w:tc>
          <w:tcPr>
            <w:tcW w:w="2617"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CE74FC" w:rsidRPr="00E73EC0" w:rsidRDefault="00CE74FC">
            <w:pPr>
              <w:spacing w:after="160" w:line="259" w:lineRule="auto"/>
              <w:jc w:val="center"/>
            </w:pPr>
            <w:r>
              <w:rPr>
                <w:rFonts w:ascii="Arial" w:hAnsi="Arial" w:cs="Arial"/>
              </w:rPr>
              <w:t>&gt; 1.800 €</w:t>
            </w:r>
          </w:p>
        </w:tc>
      </w:tr>
      <w:tr w:rsidR="00CE74FC" w:rsidRPr="00E73EC0">
        <w:tblPrEx>
          <w:tblCellMar>
            <w:top w:w="0" w:type="dxa"/>
            <w:bottom w:w="0" w:type="dxa"/>
          </w:tblCellMar>
        </w:tblPrEx>
        <w:trPr>
          <w:trHeight w:val="1065"/>
        </w:trPr>
        <w:tc>
          <w:tcPr>
            <w:tcW w:w="2799"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CE74FC" w:rsidRPr="00E73EC0" w:rsidRDefault="00CE74FC">
            <w:pPr>
              <w:spacing w:after="160" w:line="259" w:lineRule="auto"/>
              <w:jc w:val="both"/>
            </w:pPr>
            <w:r>
              <w:rPr>
                <w:rFonts w:ascii="Arial" w:hAnsi="Arial" w:cs="Arial"/>
              </w:rPr>
              <w:t>ΧΟΛΟΚΥΣΤΕΚΤΟΜΗ</w:t>
            </w:r>
          </w:p>
        </w:tc>
        <w:tc>
          <w:tcPr>
            <w:tcW w:w="2618"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CE74FC" w:rsidRPr="00E73EC0" w:rsidRDefault="00CE74FC">
            <w:pPr>
              <w:spacing w:after="160" w:line="259" w:lineRule="auto"/>
              <w:jc w:val="center"/>
            </w:pPr>
            <w:r>
              <w:rPr>
                <w:rFonts w:ascii="Arial" w:hAnsi="Arial" w:cs="Arial"/>
              </w:rPr>
              <w:t>Μικρή ή Μεγάλη</w:t>
            </w:r>
          </w:p>
        </w:tc>
        <w:tc>
          <w:tcPr>
            <w:tcW w:w="2619"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CE74FC" w:rsidRPr="00E73EC0" w:rsidRDefault="00CE74FC">
            <w:pPr>
              <w:spacing w:after="160" w:line="259" w:lineRule="auto"/>
              <w:jc w:val="center"/>
            </w:pPr>
            <w:r>
              <w:rPr>
                <w:rFonts w:ascii="Arial" w:hAnsi="Arial" w:cs="Arial"/>
              </w:rPr>
              <w:t>500€ - 1.200€</w:t>
            </w:r>
          </w:p>
        </w:tc>
        <w:tc>
          <w:tcPr>
            <w:tcW w:w="2617"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CE74FC" w:rsidRPr="00E73EC0" w:rsidRDefault="00CE74FC">
            <w:pPr>
              <w:spacing w:after="160" w:line="259" w:lineRule="auto"/>
              <w:jc w:val="center"/>
            </w:pPr>
            <w:r>
              <w:rPr>
                <w:rFonts w:ascii="Arial" w:hAnsi="Arial" w:cs="Arial"/>
              </w:rPr>
              <w:t>&gt; 2.500 €</w:t>
            </w:r>
          </w:p>
        </w:tc>
      </w:tr>
      <w:tr w:rsidR="00CE74FC" w:rsidRPr="00E73EC0">
        <w:tblPrEx>
          <w:tblCellMar>
            <w:top w:w="0" w:type="dxa"/>
            <w:bottom w:w="0" w:type="dxa"/>
          </w:tblCellMar>
        </w:tblPrEx>
        <w:trPr>
          <w:trHeight w:val="1065"/>
        </w:trPr>
        <w:tc>
          <w:tcPr>
            <w:tcW w:w="2799"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CE74FC" w:rsidRPr="00E73EC0" w:rsidRDefault="00CE74FC">
            <w:pPr>
              <w:spacing w:after="160" w:line="259" w:lineRule="auto"/>
              <w:jc w:val="both"/>
            </w:pPr>
            <w:r>
              <w:rPr>
                <w:rFonts w:ascii="Arial" w:hAnsi="Arial" w:cs="Arial"/>
              </w:rPr>
              <w:t>ΑΡΘΡΟΠΛΑΣΤΙΚΗ ΓΟΝΑΤΟΥ</w:t>
            </w:r>
          </w:p>
        </w:tc>
        <w:tc>
          <w:tcPr>
            <w:tcW w:w="2618"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CE74FC" w:rsidRPr="00E73EC0" w:rsidRDefault="00CE74FC">
            <w:pPr>
              <w:spacing w:after="160" w:line="259" w:lineRule="auto"/>
              <w:jc w:val="center"/>
            </w:pPr>
            <w:r>
              <w:rPr>
                <w:rFonts w:ascii="Arial" w:hAnsi="Arial" w:cs="Arial"/>
              </w:rPr>
              <w:t>Μεγάλη ή Βαρεία</w:t>
            </w:r>
          </w:p>
        </w:tc>
        <w:tc>
          <w:tcPr>
            <w:tcW w:w="2619"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CE74FC" w:rsidRPr="00E73EC0" w:rsidRDefault="00CE74FC">
            <w:pPr>
              <w:spacing w:after="160" w:line="259" w:lineRule="auto"/>
              <w:jc w:val="center"/>
            </w:pPr>
            <w:r>
              <w:rPr>
                <w:rFonts w:ascii="Arial" w:hAnsi="Arial" w:cs="Arial"/>
              </w:rPr>
              <w:t>1.200€ - 1.600€</w:t>
            </w:r>
          </w:p>
        </w:tc>
        <w:tc>
          <w:tcPr>
            <w:tcW w:w="2617"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CE74FC" w:rsidRPr="00E73EC0" w:rsidRDefault="00CE74FC">
            <w:pPr>
              <w:spacing w:after="160" w:line="259" w:lineRule="auto"/>
              <w:jc w:val="center"/>
            </w:pPr>
            <w:r>
              <w:rPr>
                <w:rFonts w:ascii="Arial" w:hAnsi="Arial" w:cs="Arial"/>
              </w:rPr>
              <w:t>&gt; 3.500 €</w:t>
            </w:r>
          </w:p>
        </w:tc>
      </w:tr>
      <w:tr w:rsidR="00CE74FC" w:rsidRPr="00E73EC0">
        <w:tblPrEx>
          <w:tblCellMar>
            <w:top w:w="0" w:type="dxa"/>
            <w:bottom w:w="0" w:type="dxa"/>
          </w:tblCellMar>
        </w:tblPrEx>
        <w:trPr>
          <w:trHeight w:val="1065"/>
        </w:trPr>
        <w:tc>
          <w:tcPr>
            <w:tcW w:w="2799"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CE74FC" w:rsidRPr="00E73EC0" w:rsidRDefault="00CE74FC">
            <w:pPr>
              <w:spacing w:after="160" w:line="259" w:lineRule="auto"/>
              <w:jc w:val="both"/>
            </w:pPr>
            <w:r>
              <w:rPr>
                <w:rFonts w:ascii="Arial" w:hAnsi="Arial" w:cs="Arial"/>
              </w:rPr>
              <w:t>ΑΡΘΡΟΠΛΑΣΤΙΚΗ ΙΣΧΙΟΥ</w:t>
            </w:r>
          </w:p>
        </w:tc>
        <w:tc>
          <w:tcPr>
            <w:tcW w:w="2618"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CE74FC" w:rsidRPr="00E73EC0" w:rsidRDefault="00CE74FC">
            <w:pPr>
              <w:spacing w:after="160" w:line="259" w:lineRule="auto"/>
              <w:jc w:val="center"/>
            </w:pPr>
            <w:r>
              <w:rPr>
                <w:rFonts w:ascii="Arial" w:hAnsi="Arial" w:cs="Arial"/>
              </w:rPr>
              <w:t>Μεγάλη ή Βαρεία</w:t>
            </w:r>
          </w:p>
        </w:tc>
        <w:tc>
          <w:tcPr>
            <w:tcW w:w="2619"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CE74FC" w:rsidRPr="00E73EC0" w:rsidRDefault="00CE74FC">
            <w:pPr>
              <w:spacing w:after="160" w:line="259" w:lineRule="auto"/>
              <w:jc w:val="center"/>
            </w:pPr>
            <w:r>
              <w:rPr>
                <w:rFonts w:ascii="Arial" w:hAnsi="Arial" w:cs="Arial"/>
              </w:rPr>
              <w:t>1.200€ - 1.600€</w:t>
            </w:r>
          </w:p>
        </w:tc>
        <w:tc>
          <w:tcPr>
            <w:tcW w:w="2617"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CE74FC" w:rsidRPr="00E73EC0" w:rsidRDefault="00CE74FC">
            <w:pPr>
              <w:spacing w:after="160" w:line="259" w:lineRule="auto"/>
              <w:jc w:val="center"/>
            </w:pPr>
            <w:r>
              <w:rPr>
                <w:rFonts w:ascii="Arial" w:hAnsi="Arial" w:cs="Arial"/>
              </w:rPr>
              <w:t>&gt; 3.500 €</w:t>
            </w:r>
          </w:p>
        </w:tc>
      </w:tr>
    </w:tbl>
    <w:p w:rsidR="00CE74FC" w:rsidRDefault="00CE74FC">
      <w:pPr>
        <w:spacing w:after="160" w:line="259" w:lineRule="auto"/>
        <w:jc w:val="both"/>
        <w:rPr>
          <w:rFonts w:ascii="Arial" w:hAnsi="Arial" w:cs="Arial"/>
        </w:rPr>
      </w:pPr>
    </w:p>
    <w:p w:rsidR="00CE74FC" w:rsidRDefault="00CE74FC">
      <w:pPr>
        <w:keepNext/>
        <w:keepLines/>
        <w:spacing w:before="240" w:line="360" w:lineRule="auto"/>
        <w:jc w:val="both"/>
        <w:rPr>
          <w:rFonts w:ascii="Arial" w:hAnsi="Arial" w:cs="Arial"/>
          <w:color w:val="002060"/>
          <w:sz w:val="24"/>
        </w:rPr>
      </w:pPr>
      <w:r>
        <w:rPr>
          <w:rFonts w:ascii="Arial" w:hAnsi="Arial" w:cs="Arial"/>
          <w:color w:val="002060"/>
          <w:sz w:val="24"/>
        </w:rPr>
        <w:t>Τα απογευματινά χειρουργεία αποτελούν ένα προσωρινό μέτρο του Υπουργείου Υγείας;</w:t>
      </w:r>
    </w:p>
    <w:p w:rsidR="00CE74FC" w:rsidRDefault="00CE74FC">
      <w:pPr>
        <w:spacing w:after="160" w:line="259" w:lineRule="auto"/>
        <w:jc w:val="both"/>
        <w:rPr>
          <w:rFonts w:ascii="Arial" w:hAnsi="Arial" w:cs="Arial"/>
        </w:rPr>
      </w:pPr>
      <w:r>
        <w:rPr>
          <w:rFonts w:ascii="Arial" w:hAnsi="Arial" w:cs="Arial"/>
        </w:rPr>
        <w:t>Η απάντηση είναι όχι. Τα απογευματινά χειρουργεία σχεδιάζονται και θα υλοποιηθούν με ορίζοντα να αποτελέσουν μόνιμη λύση για το σύστημα Υγείας. Η συγκεκριμένη πρωτοβουλία μαζί με την χρηματοδότηση από το Ταμείο Ανάκαμψης, θα χρησιμοποιηθούν ως εργαλείο για την άμεση μείωση του χρόνου αναμονής των πολιτών της Λίστας χειρουργείου, όμως ο απώτερος σκοπός είναι να αποτελέσουν μόνιμη δυνατότητα του Ε.Σ.Υ.</w:t>
      </w:r>
    </w:p>
    <w:sectPr w:rsidR="00CE74FC" w:rsidSect="008D7EE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F0544"/>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B880B8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2DB234D5"/>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32F17CF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38ED2B0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0333"/>
    <w:rsid w:val="0023609C"/>
    <w:rsid w:val="004E0333"/>
    <w:rsid w:val="008D7EE0"/>
    <w:rsid w:val="00CE74FC"/>
    <w:rsid w:val="00E73EC0"/>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11</Pages>
  <Words>1666</Words>
  <Characters>9001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Ποια είναι η σημαντικότητα της Ενιαίας Λίστας Χειρουργείου;</dc:title>
  <dc:subject/>
  <dc:creator/>
  <cp:keywords/>
  <dc:description/>
  <cp:lastModifiedBy>konmicha</cp:lastModifiedBy>
  <cp:revision>2</cp:revision>
  <dcterms:created xsi:type="dcterms:W3CDTF">2024-02-19T10:20:00Z</dcterms:created>
  <dcterms:modified xsi:type="dcterms:W3CDTF">2024-02-19T10:20:00Z</dcterms:modified>
</cp:coreProperties>
</file>